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rFonts w:ascii="Arial" w:cs="Arial" w:hAnsi="Arial" w:eastAsia="Arial"/>
          <w:color w:val="002060"/>
          <w:sz w:val="20"/>
          <w:szCs w:val="20"/>
          <w:u w:color="002060"/>
        </w:rPr>
      </w:pPr>
      <w:r>
        <w:rPr>
          <w:rFonts w:ascii="Arial"/>
          <w:b w:val="1"/>
          <w:bCs w:val="1"/>
          <w:sz w:val="20"/>
          <w:szCs w:val="20"/>
          <w:rtl w:val="0"/>
          <w:lang w:val="nl-NL"/>
        </w:rPr>
        <w:t>Algemene Voorwaarde</w:t>
      </w:r>
      <w:r>
        <w:rPr>
          <w:rFonts w:ascii="Arial"/>
          <w:b w:val="1"/>
          <w:bCs w:val="1"/>
          <w:sz w:val="20"/>
          <w:szCs w:val="20"/>
          <w:rtl w:val="0"/>
          <w:lang w:val="nl-NL"/>
        </w:rPr>
        <w:t>n</w:t>
      </w:r>
    </w:p>
    <w:p>
      <w:pPr>
        <w:pStyle w:val="Hoofdtekst"/>
        <w:rPr>
          <w:rFonts w:ascii="Arial" w:cs="Arial" w:hAnsi="Arial" w:eastAsia="Arial"/>
          <w:sz w:val="20"/>
          <w:szCs w:val="20"/>
        </w:rPr>
      </w:pPr>
    </w:p>
    <w:p>
      <w:pPr>
        <w:pStyle w:val="Hoofdtekst"/>
        <w:rPr>
          <w:rFonts w:ascii="Arial" w:cs="Arial" w:hAnsi="Arial" w:eastAsia="Arial"/>
          <w:b w:val="1"/>
          <w:bCs w:val="1"/>
          <w:sz w:val="20"/>
          <w:szCs w:val="20"/>
        </w:rPr>
      </w:pPr>
    </w:p>
    <w:p>
      <w:pPr>
        <w:pStyle w:val="Hoofdtekst"/>
        <w:rPr>
          <w:rFonts w:ascii="Arial" w:cs="Arial" w:hAnsi="Arial" w:eastAsia="Arial"/>
          <w:b w:val="1"/>
          <w:bCs w:val="1"/>
          <w:sz w:val="20"/>
          <w:szCs w:val="20"/>
        </w:rPr>
      </w:pPr>
      <w:r>
        <w:rPr>
          <w:rFonts w:ascii="Arial"/>
          <w:b w:val="1"/>
          <w:bCs w:val="1"/>
          <w:sz w:val="20"/>
          <w:szCs w:val="20"/>
          <w:rtl w:val="0"/>
          <w:lang w:val="nl-NL"/>
        </w:rPr>
        <w:t>Inhoudsopgave:</w:t>
      </w:r>
    </w:p>
    <w:p>
      <w:pPr>
        <w:pStyle w:val="Hoofdtekst"/>
        <w:rPr>
          <w:rFonts w:ascii="Arial" w:cs="Arial" w:hAnsi="Arial" w:eastAsia="Arial"/>
          <w:sz w:val="20"/>
          <w:szCs w:val="20"/>
        </w:rPr>
      </w:pPr>
      <w:r>
        <w:rPr>
          <w:rFonts w:ascii="Arial"/>
          <w:sz w:val="20"/>
          <w:szCs w:val="20"/>
          <w:rtl w:val="0"/>
          <w:lang w:val="en-US"/>
        </w:rPr>
        <w:t>Artikel   1 - Definities</w:t>
      </w:r>
    </w:p>
    <w:p>
      <w:pPr>
        <w:pStyle w:val="Hoofdtekst"/>
        <w:rPr>
          <w:rFonts w:ascii="Arial" w:cs="Arial" w:hAnsi="Arial" w:eastAsia="Arial"/>
          <w:sz w:val="20"/>
          <w:szCs w:val="20"/>
        </w:rPr>
      </w:pPr>
      <w:r>
        <w:rPr>
          <w:rFonts w:ascii="Arial"/>
          <w:sz w:val="20"/>
          <w:szCs w:val="20"/>
          <w:rtl w:val="0"/>
          <w:lang w:val="nl-NL"/>
        </w:rPr>
        <w:t>Artikel   2 - Identiteit van de ondernemer</w:t>
      </w:r>
    </w:p>
    <w:p>
      <w:pPr>
        <w:pStyle w:val="Hoofdtekst"/>
        <w:rPr>
          <w:rFonts w:ascii="Arial" w:cs="Arial" w:hAnsi="Arial" w:eastAsia="Arial"/>
          <w:sz w:val="20"/>
          <w:szCs w:val="20"/>
        </w:rPr>
      </w:pPr>
      <w:r>
        <w:rPr>
          <w:rFonts w:ascii="Arial"/>
          <w:sz w:val="20"/>
          <w:szCs w:val="20"/>
          <w:rtl w:val="0"/>
          <w:lang w:val="nl-NL"/>
        </w:rPr>
        <w:t>Artikel   3 - Toepasselijkheid</w:t>
      </w:r>
    </w:p>
    <w:p>
      <w:pPr>
        <w:pStyle w:val="Hoofdtekst"/>
        <w:rPr>
          <w:rFonts w:ascii="Arial" w:cs="Arial" w:hAnsi="Arial" w:eastAsia="Arial"/>
          <w:sz w:val="20"/>
          <w:szCs w:val="20"/>
        </w:rPr>
      </w:pPr>
      <w:r>
        <w:rPr>
          <w:rFonts w:ascii="Arial"/>
          <w:sz w:val="20"/>
          <w:szCs w:val="20"/>
          <w:rtl w:val="0"/>
          <w:lang w:val="nl-NL"/>
        </w:rPr>
        <w:t>Artikel   4 - Het aanbod</w:t>
      </w:r>
    </w:p>
    <w:p>
      <w:pPr>
        <w:pStyle w:val="Hoofdtekst"/>
        <w:rPr>
          <w:rFonts w:ascii="Arial" w:cs="Arial" w:hAnsi="Arial" w:eastAsia="Arial"/>
          <w:sz w:val="20"/>
          <w:szCs w:val="20"/>
        </w:rPr>
      </w:pPr>
      <w:r>
        <w:rPr>
          <w:rFonts w:ascii="Arial"/>
          <w:sz w:val="20"/>
          <w:szCs w:val="20"/>
          <w:rtl w:val="0"/>
          <w:lang w:val="nl-NL"/>
        </w:rPr>
        <w:t>Artikel   5 - De overeenkomst</w:t>
      </w:r>
    </w:p>
    <w:p>
      <w:pPr>
        <w:pStyle w:val="Hoofdtekst"/>
        <w:rPr>
          <w:rFonts w:ascii="Arial" w:cs="Arial" w:hAnsi="Arial" w:eastAsia="Arial"/>
          <w:sz w:val="20"/>
          <w:szCs w:val="20"/>
        </w:rPr>
      </w:pPr>
      <w:r>
        <w:rPr>
          <w:rFonts w:ascii="Arial"/>
          <w:sz w:val="20"/>
          <w:szCs w:val="20"/>
          <w:rtl w:val="0"/>
          <w:lang w:val="nl-NL"/>
        </w:rPr>
        <w:t>Artikel   6 - Herroepingsrecht</w:t>
      </w:r>
    </w:p>
    <w:p>
      <w:pPr>
        <w:pStyle w:val="Hoofdtekst"/>
        <w:rPr>
          <w:rFonts w:ascii="Arial" w:cs="Arial" w:hAnsi="Arial" w:eastAsia="Arial"/>
          <w:sz w:val="20"/>
          <w:szCs w:val="20"/>
        </w:rPr>
      </w:pPr>
      <w:r>
        <w:rPr>
          <w:rFonts w:ascii="Arial"/>
          <w:sz w:val="20"/>
          <w:szCs w:val="20"/>
          <w:rtl w:val="0"/>
          <w:lang w:val="nl-NL"/>
        </w:rPr>
        <w:t>Artikel   7 - Kosten in geval van herroeping</w:t>
      </w:r>
    </w:p>
    <w:p>
      <w:pPr>
        <w:pStyle w:val="Hoofdtekst"/>
        <w:rPr>
          <w:rFonts w:ascii="Arial" w:cs="Arial" w:hAnsi="Arial" w:eastAsia="Arial"/>
          <w:sz w:val="20"/>
          <w:szCs w:val="20"/>
        </w:rPr>
      </w:pPr>
      <w:r>
        <w:rPr>
          <w:rFonts w:ascii="Arial"/>
          <w:sz w:val="20"/>
          <w:szCs w:val="20"/>
          <w:rtl w:val="0"/>
          <w:lang w:val="nl-NL"/>
        </w:rPr>
        <w:t>Artikel   8 - Uitsluiting herroepingsrecht</w:t>
      </w:r>
    </w:p>
    <w:p>
      <w:pPr>
        <w:pStyle w:val="Hoofdtekst"/>
        <w:rPr>
          <w:rFonts w:ascii="Arial" w:cs="Arial" w:hAnsi="Arial" w:eastAsia="Arial"/>
          <w:sz w:val="20"/>
          <w:szCs w:val="20"/>
        </w:rPr>
      </w:pPr>
      <w:r>
        <w:rPr>
          <w:rFonts w:ascii="Arial"/>
          <w:sz w:val="20"/>
          <w:szCs w:val="20"/>
          <w:rtl w:val="0"/>
          <w:lang w:val="nl-NL"/>
        </w:rPr>
        <w:t>Artikel   9 - De prijs</w:t>
      </w:r>
    </w:p>
    <w:p>
      <w:pPr>
        <w:pStyle w:val="Hoofdtekst"/>
        <w:rPr>
          <w:rFonts w:ascii="Arial" w:cs="Arial" w:hAnsi="Arial" w:eastAsia="Arial"/>
          <w:sz w:val="20"/>
          <w:szCs w:val="20"/>
        </w:rPr>
      </w:pPr>
      <w:r>
        <w:rPr>
          <w:rFonts w:ascii="Arial"/>
          <w:sz w:val="20"/>
          <w:szCs w:val="20"/>
          <w:rtl w:val="0"/>
          <w:lang w:val="nl-NL"/>
        </w:rPr>
        <w:t>Artikel 10 - Conformiteit en garantie</w:t>
      </w:r>
    </w:p>
    <w:p>
      <w:pPr>
        <w:pStyle w:val="Hoofdtekst"/>
        <w:rPr>
          <w:rFonts w:ascii="Arial" w:cs="Arial" w:hAnsi="Arial" w:eastAsia="Arial"/>
          <w:sz w:val="20"/>
          <w:szCs w:val="20"/>
        </w:rPr>
      </w:pPr>
      <w:r>
        <w:rPr>
          <w:rFonts w:ascii="Arial"/>
          <w:sz w:val="20"/>
          <w:szCs w:val="20"/>
          <w:rtl w:val="0"/>
          <w:lang w:val="nl-NL"/>
        </w:rPr>
        <w:t>Artikel 11 - Levering en uitvoering</w:t>
      </w:r>
    </w:p>
    <w:p>
      <w:pPr>
        <w:pStyle w:val="Hoofdtekst"/>
        <w:rPr>
          <w:rFonts w:ascii="Arial" w:cs="Arial" w:hAnsi="Arial" w:eastAsia="Arial"/>
          <w:sz w:val="20"/>
          <w:szCs w:val="20"/>
        </w:rPr>
      </w:pPr>
      <w:r>
        <w:rPr>
          <w:rFonts w:ascii="Arial"/>
          <w:sz w:val="20"/>
          <w:szCs w:val="20"/>
          <w:rtl w:val="0"/>
          <w:lang w:val="nl-NL"/>
        </w:rPr>
        <w:t>Artikel 12 - Duurtransacties: duur, opzegging en verlenging</w:t>
      </w:r>
    </w:p>
    <w:p>
      <w:pPr>
        <w:pStyle w:val="Hoofdtekst"/>
        <w:rPr>
          <w:rFonts w:ascii="Arial" w:cs="Arial" w:hAnsi="Arial" w:eastAsia="Arial"/>
          <w:sz w:val="20"/>
          <w:szCs w:val="20"/>
        </w:rPr>
      </w:pPr>
      <w:r>
        <w:rPr>
          <w:rFonts w:ascii="Arial"/>
          <w:sz w:val="20"/>
          <w:szCs w:val="20"/>
          <w:rtl w:val="0"/>
          <w:lang w:val="de-DE"/>
        </w:rPr>
        <w:t>Artikel 13 - Betaling</w:t>
      </w:r>
    </w:p>
    <w:p>
      <w:pPr>
        <w:pStyle w:val="Hoofdtekst"/>
        <w:rPr>
          <w:rFonts w:ascii="Arial" w:cs="Arial" w:hAnsi="Arial" w:eastAsia="Arial"/>
          <w:sz w:val="20"/>
          <w:szCs w:val="20"/>
        </w:rPr>
      </w:pPr>
      <w:r>
        <w:rPr>
          <w:rFonts w:ascii="Arial"/>
          <w:sz w:val="20"/>
          <w:szCs w:val="20"/>
          <w:rtl w:val="0"/>
          <w:lang w:val="nl-NL"/>
        </w:rPr>
        <w:t>Artikel 14 - Klachtenregeling</w:t>
      </w:r>
    </w:p>
    <w:p>
      <w:pPr>
        <w:pStyle w:val="Hoofdtekst"/>
        <w:rPr>
          <w:rFonts w:ascii="Arial" w:cs="Arial" w:hAnsi="Arial" w:eastAsia="Arial"/>
          <w:sz w:val="20"/>
          <w:szCs w:val="20"/>
        </w:rPr>
      </w:pPr>
      <w:r>
        <w:rPr>
          <w:rFonts w:ascii="Arial"/>
          <w:sz w:val="20"/>
          <w:szCs w:val="20"/>
          <w:rtl w:val="0"/>
          <w:lang w:val="de-DE"/>
        </w:rPr>
        <w:t>Artikel 15 - Geschillen</w:t>
      </w:r>
    </w:p>
    <w:p>
      <w:pPr>
        <w:pStyle w:val="Hoofdtekst"/>
        <w:rPr>
          <w:rFonts w:ascii="Arial" w:cs="Arial" w:hAnsi="Arial" w:eastAsia="Arial"/>
          <w:sz w:val="20"/>
          <w:szCs w:val="20"/>
        </w:rPr>
      </w:pPr>
      <w:r>
        <w:rPr>
          <w:rFonts w:ascii="Arial"/>
          <w:sz w:val="20"/>
          <w:szCs w:val="20"/>
          <w:rtl w:val="0"/>
          <w:lang w:val="nl-NL"/>
        </w:rPr>
        <w:t>Artikel 16 - Aanvullende of afwijkende bepalingen</w:t>
      </w:r>
    </w:p>
    <w:p>
      <w:pPr>
        <w:pStyle w:val="Normal (Web)"/>
        <w:spacing w:before="0" w:after="0"/>
        <w:rPr>
          <w:rFonts w:ascii="Arial" w:cs="Arial" w:hAnsi="Arial" w:eastAsia="Arial"/>
          <w:b w:val="1"/>
          <w:bCs w:val="1"/>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1 - Definities</w:t>
      </w:r>
    </w:p>
    <w:p>
      <w:pPr>
        <w:pStyle w:val="Normal (Web)"/>
        <w:spacing w:before="0" w:after="0"/>
        <w:rPr>
          <w:rFonts w:ascii="Arial" w:cs="Arial" w:hAnsi="Arial" w:eastAsia="Arial"/>
          <w:sz w:val="20"/>
          <w:szCs w:val="20"/>
        </w:rPr>
      </w:pPr>
      <w:r>
        <w:rPr>
          <w:rFonts w:ascii="Arial"/>
          <w:sz w:val="20"/>
          <w:szCs w:val="20"/>
          <w:rtl w:val="0"/>
          <w:lang w:val="nl-NL"/>
        </w:rPr>
        <w:t>In deze voorwaarden wordt verstaan onder:</w:t>
      </w:r>
    </w:p>
    <w:p>
      <w:pPr>
        <w:pStyle w:val="Normal (Web)"/>
        <w:numPr>
          <w:ilvl w:val="0"/>
          <w:numId w:val="3"/>
        </w:numPr>
        <w:tabs>
          <w:tab w:val="num" w:pos="518"/>
          <w:tab w:val="clear" w:pos="432"/>
        </w:tabs>
        <w:bidi w:val="0"/>
        <w:spacing w:before="0" w:after="0"/>
        <w:ind w:left="518" w:right="0" w:hanging="518"/>
        <w:jc w:val="left"/>
        <w:rPr>
          <w:rFonts w:ascii="Arial" w:cs="Arial" w:hAnsi="Arial" w:eastAsia="Arial"/>
          <w:position w:val="0"/>
          <w:sz w:val="20"/>
          <w:szCs w:val="20"/>
          <w:rtl w:val="0"/>
        </w:rPr>
      </w:pPr>
      <w:r>
        <w:rPr>
          <w:rFonts w:ascii="Arial"/>
          <w:sz w:val="20"/>
          <w:szCs w:val="20"/>
          <w:rtl w:val="0"/>
          <w:lang w:val="nl-NL"/>
        </w:rPr>
        <w:t xml:space="preserve"> </w:t>
      </w:r>
      <w:r>
        <w:rPr>
          <w:rFonts w:ascii="Arial"/>
          <w:b w:val="1"/>
          <w:bCs w:val="1"/>
          <w:sz w:val="20"/>
          <w:szCs w:val="20"/>
          <w:rtl w:val="0"/>
          <w:lang w:val="nl-NL"/>
        </w:rPr>
        <w:t>Bedenktijd</w:t>
      </w:r>
      <w:r>
        <w:rPr>
          <w:rFonts w:ascii="Arial"/>
          <w:sz w:val="20"/>
          <w:szCs w:val="20"/>
          <w:rtl w:val="0"/>
          <w:lang w:val="nl-NL"/>
        </w:rPr>
        <w:t>: de termijn waarbinnen de consument gebruik kan maken van zijn herroepingsrecht;</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Consument</w:t>
      </w:r>
      <w:r>
        <w:rPr>
          <w:rFonts w:ascii="Arial"/>
          <w:sz w:val="20"/>
          <w:szCs w:val="20"/>
          <w:rtl w:val="0"/>
          <w:lang w:val="nl-NL"/>
        </w:rPr>
        <w:t>: de natuurlijke persoon die niet handelt in de uitoefening van beroep of bedrijf en een overeenkomst op afstand aangaat met de ondernemer;</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Dag</w:t>
      </w:r>
      <w:r>
        <w:rPr>
          <w:rFonts w:ascii="Arial"/>
          <w:sz w:val="20"/>
          <w:szCs w:val="20"/>
          <w:rtl w:val="0"/>
          <w:lang w:val="nl-NL"/>
        </w:rPr>
        <w:t>: kalenderdag;</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Duurtransactie</w:t>
      </w:r>
      <w:r>
        <w:rPr>
          <w:rFonts w:ascii="Arial"/>
          <w:sz w:val="20"/>
          <w:szCs w:val="20"/>
          <w:rtl w:val="0"/>
          <w:lang w:val="nl-NL"/>
        </w:rPr>
        <w:t>: een overeenkomst op afstand met betrekking tot een reeks van producten en/of diensten, waarvan de leverings- en/of afnameverplichting in de tijd is gespreid;</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Duurzame gegevensdrager</w:t>
      </w:r>
      <w:r>
        <w:rPr>
          <w:rFonts w:ascii="Arial"/>
          <w:sz w:val="20"/>
          <w:szCs w:val="20"/>
          <w:rtl w:val="0"/>
          <w:lang w:val="nl-NL"/>
        </w:rPr>
        <w:t>: elk middel dat de consument of ondernemer in staat stelt om informatie die aan hem persoonlijk is gericht, op te slaan op een manier die toekomstige raadpleging en ongewijzigde reproductie van de opgeslagen informatie mogelijk maakt.</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Herroepingsrecht</w:t>
      </w:r>
      <w:r>
        <w:rPr>
          <w:rFonts w:ascii="Arial"/>
          <w:sz w:val="20"/>
          <w:szCs w:val="20"/>
          <w:rtl w:val="0"/>
          <w:lang w:val="nl-NL"/>
        </w:rPr>
        <w:t>: de mogelijkheid voor de consument om binnen de bedenktijd af te zien van de overeenkomst op afstand;</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Ondernemer</w:t>
      </w:r>
      <w:r>
        <w:rPr>
          <w:rFonts w:ascii="Arial"/>
          <w:sz w:val="20"/>
          <w:szCs w:val="20"/>
          <w:rtl w:val="0"/>
          <w:lang w:val="nl-NL"/>
        </w:rPr>
        <w:t>: de natuurlijke of rechtspersoon die producten en/of diensten op afstand aan consumenten aanbiedt;</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Overeenkomst op afstand</w:t>
      </w:r>
      <w:r>
        <w:rPr>
          <w:rFonts w:ascii="Arial"/>
          <w:sz w:val="20"/>
          <w:szCs w:val="20"/>
          <w:rtl w:val="0"/>
          <w:lang w:val="nl-NL"/>
        </w:rPr>
        <w:t xml:space="preserve">: een overeenkomst waarbij in het kader van een door de ondernemer georganiseerd systeem voor verkoop op afstand van producten en/of diensten, tot en met het sluiten van de overeenkomst uitsluitend gebruik gemaakt wordt van </w:t>
      </w:r>
      <w:r>
        <w:rPr>
          <w:rFonts w:hAnsi="Arial" w:hint="default"/>
          <w:sz w:val="20"/>
          <w:szCs w:val="20"/>
          <w:rtl w:val="0"/>
          <w:lang w:val="nl-NL"/>
        </w:rPr>
        <w:t>éé</w:t>
      </w:r>
      <w:r>
        <w:rPr>
          <w:rFonts w:ascii="Arial"/>
          <w:sz w:val="20"/>
          <w:szCs w:val="20"/>
          <w:rtl w:val="0"/>
          <w:lang w:val="nl-NL"/>
        </w:rPr>
        <w:t>n of meer technieken voor communicatie op afstand;</w:t>
      </w:r>
    </w:p>
    <w:p>
      <w:pPr>
        <w:pStyle w:val="Hoofdtekst"/>
        <w:numPr>
          <w:ilvl w:val="0"/>
          <w:numId w:val="3"/>
        </w:numPr>
        <w:tabs>
          <w:tab w:val="num" w:pos="518"/>
          <w:tab w:val="clear" w:pos="432"/>
        </w:tabs>
        <w:bidi w:val="0"/>
        <w:ind w:left="518" w:right="0" w:hanging="518"/>
        <w:jc w:val="left"/>
        <w:rPr>
          <w:rFonts w:ascii="Arial" w:cs="Arial" w:hAnsi="Arial" w:eastAsia="Arial"/>
          <w:position w:val="0"/>
          <w:sz w:val="20"/>
          <w:szCs w:val="20"/>
          <w:rtl w:val="0"/>
        </w:rPr>
      </w:pPr>
      <w:r>
        <w:rPr>
          <w:rFonts w:ascii="Arial"/>
          <w:b w:val="1"/>
          <w:bCs w:val="1"/>
          <w:sz w:val="20"/>
          <w:szCs w:val="20"/>
          <w:rtl w:val="0"/>
          <w:lang w:val="nl-NL"/>
        </w:rPr>
        <w:t>Techniek voor communicatie op afstand</w:t>
      </w:r>
      <w:r>
        <w:rPr>
          <w:rFonts w:ascii="Arial"/>
          <w:sz w:val="20"/>
          <w:szCs w:val="20"/>
          <w:rtl w:val="0"/>
          <w:lang w:val="nl-NL"/>
        </w:rPr>
        <w:t>: middel dat kan worden gebruikt voor het sluiten van een overeenkomst, zonder dat consument en ondernemer gelijktijdig in dezelfde ruimte zijn samengekomen.</w:t>
      </w:r>
    </w:p>
    <w:p>
      <w:pPr>
        <w:pStyle w:val="Hoofdtekst"/>
        <w:rPr>
          <w:rFonts w:ascii="Arial" w:cs="Arial" w:hAnsi="Arial" w:eastAsia="Arial"/>
          <w:sz w:val="20"/>
          <w:szCs w:val="20"/>
        </w:rPr>
      </w:pPr>
    </w:p>
    <w:p>
      <w:pPr>
        <w:pStyle w:val="Normal (Web)"/>
        <w:spacing w:before="0" w:after="0"/>
        <w:rPr>
          <w:rFonts w:ascii="Arial" w:cs="Arial" w:hAnsi="Arial" w:eastAsia="Arial"/>
          <w:b w:val="1"/>
          <w:bCs w:val="1"/>
          <w:sz w:val="20"/>
          <w:szCs w:val="20"/>
        </w:rPr>
      </w:pPr>
      <w:r>
        <w:rPr>
          <w:rFonts w:ascii="Arial"/>
          <w:b w:val="1"/>
          <w:bCs w:val="1"/>
          <w:sz w:val="20"/>
          <w:szCs w:val="20"/>
          <w:rtl w:val="0"/>
          <w:lang w:val="nl-NL"/>
        </w:rPr>
        <w:t>Artikel 2 - Identiteit van de ondernemer</w:t>
      </w:r>
    </w:p>
    <w:p>
      <w:pPr>
        <w:pStyle w:val="Hoofdtekst"/>
        <w:rPr>
          <w:rFonts w:ascii="Arial" w:cs="Arial" w:hAnsi="Arial" w:eastAsia="Arial"/>
          <w:sz w:val="20"/>
          <w:szCs w:val="20"/>
        </w:rPr>
      </w:pPr>
      <w:r>
        <w:rPr>
          <w:rFonts w:ascii="Arial"/>
          <w:sz w:val="20"/>
          <w:szCs w:val="20"/>
          <w:rtl w:val="0"/>
          <w:lang w:val="nl-NL"/>
        </w:rPr>
        <w:t>[Naam ondernemer] (statutaire naam, eventueel aangevuld met handelsnaam);</w:t>
      </w:r>
    </w:p>
    <w:p>
      <w:pPr>
        <w:pStyle w:val="Hoofdtekst"/>
        <w:rPr>
          <w:rFonts w:ascii="Arial" w:cs="Arial" w:hAnsi="Arial" w:eastAsia="Arial"/>
          <w:sz w:val="20"/>
          <w:szCs w:val="20"/>
        </w:rPr>
      </w:pPr>
      <w:r>
        <w:rPr>
          <w:rFonts w:ascii="Arial"/>
          <w:sz w:val="20"/>
          <w:szCs w:val="20"/>
          <w:rtl w:val="0"/>
          <w:lang w:val="nl-NL"/>
        </w:rPr>
        <w:t>[Vestigingsadres];</w:t>
      </w:r>
    </w:p>
    <w:p>
      <w:pPr>
        <w:pStyle w:val="Hoofdtekst"/>
        <w:rPr>
          <w:rFonts w:ascii="Arial" w:cs="Arial" w:hAnsi="Arial" w:eastAsia="Arial"/>
          <w:sz w:val="20"/>
          <w:szCs w:val="20"/>
        </w:rPr>
      </w:pPr>
      <w:r>
        <w:rPr>
          <w:rFonts w:ascii="Arial"/>
          <w:sz w:val="20"/>
          <w:szCs w:val="20"/>
          <w:rtl w:val="0"/>
          <w:lang w:val="nl-NL"/>
        </w:rPr>
        <w:t>[Bezoekadres, indien dit afwijkt van het vestigingsadres];</w:t>
      </w:r>
    </w:p>
    <w:p>
      <w:pPr>
        <w:pStyle w:val="Hoofdtekst"/>
        <w:rPr>
          <w:rFonts w:ascii="Arial" w:cs="Arial" w:hAnsi="Arial" w:eastAsia="Arial"/>
          <w:sz w:val="20"/>
          <w:szCs w:val="20"/>
        </w:rPr>
      </w:pPr>
      <w:r>
        <w:rPr>
          <w:rFonts w:ascii="Arial"/>
          <w:sz w:val="20"/>
          <w:szCs w:val="20"/>
          <w:rtl w:val="0"/>
          <w:lang w:val="nl-NL"/>
        </w:rPr>
        <w:t>Telefoonnummer: [en tijdstip(pen) waarop de ondernemer telefonisch te bereiken is]</w:t>
      </w:r>
    </w:p>
    <w:p>
      <w:pPr>
        <w:pStyle w:val="Hoofdtekst"/>
        <w:rPr>
          <w:rFonts w:ascii="Arial" w:cs="Arial" w:hAnsi="Arial" w:eastAsia="Arial"/>
          <w:sz w:val="20"/>
          <w:szCs w:val="20"/>
        </w:rPr>
      </w:pPr>
      <w:r>
        <w:rPr>
          <w:rFonts w:ascii="Arial"/>
          <w:sz w:val="20"/>
          <w:szCs w:val="20"/>
          <w:rtl w:val="0"/>
          <w:lang w:val="nl-NL"/>
        </w:rPr>
        <w:t>E-mailadres: [vul hier uw e-mailadres in]</w:t>
      </w:r>
    </w:p>
    <w:p>
      <w:pPr>
        <w:pStyle w:val="Hoofdtekst"/>
        <w:rPr>
          <w:rFonts w:ascii="Arial" w:cs="Arial" w:hAnsi="Arial" w:eastAsia="Arial"/>
          <w:sz w:val="20"/>
          <w:szCs w:val="20"/>
        </w:rPr>
      </w:pPr>
      <w:r>
        <w:rPr>
          <w:rFonts w:ascii="Arial"/>
          <w:sz w:val="20"/>
          <w:szCs w:val="20"/>
          <w:rtl w:val="0"/>
          <w:lang w:val="nl-NL"/>
        </w:rPr>
        <w:t>KvK-nummer: [vul hier uw KvK-nummer in]</w:t>
      </w:r>
    </w:p>
    <w:p>
      <w:pPr>
        <w:pStyle w:val="Hoofdtekst"/>
        <w:rPr>
          <w:rFonts w:ascii="Arial" w:cs="Arial" w:hAnsi="Arial" w:eastAsia="Arial"/>
          <w:sz w:val="20"/>
          <w:szCs w:val="20"/>
        </w:rPr>
      </w:pPr>
      <w:r>
        <w:rPr>
          <w:rFonts w:ascii="Arial"/>
          <w:sz w:val="20"/>
          <w:szCs w:val="20"/>
          <w:rtl w:val="0"/>
          <w:lang w:val="nl-NL"/>
        </w:rPr>
        <w:t>Btw-identificatienummer: [vul hier uw btw-nummer in]</w:t>
      </w:r>
    </w:p>
    <w:p>
      <w:pPr>
        <w:pStyle w:val="Hoofdtekst"/>
        <w:rPr>
          <w:rFonts w:ascii="Arial" w:cs="Arial" w:hAnsi="Arial" w:eastAsia="Arial"/>
          <w:sz w:val="20"/>
          <w:szCs w:val="20"/>
        </w:rPr>
      </w:pPr>
    </w:p>
    <w:p>
      <w:pPr>
        <w:pStyle w:val="Hoofdtekst"/>
        <w:rPr>
          <w:rFonts w:ascii="Arial" w:cs="Arial" w:hAnsi="Arial" w:eastAsia="Arial"/>
          <w:sz w:val="20"/>
          <w:szCs w:val="20"/>
        </w:rPr>
      </w:pPr>
      <w:r>
        <w:rPr>
          <w:rFonts w:ascii="Arial"/>
          <w:sz w:val="20"/>
          <w:szCs w:val="20"/>
          <w:rtl w:val="0"/>
          <w:lang w:val="nl-NL"/>
        </w:rPr>
        <w:t>Indien de activiteit van de ondernemer is onderworpen aan een relevant vergunningstelsel: de</w:t>
      </w:r>
    </w:p>
    <w:p>
      <w:pPr>
        <w:pStyle w:val="Hoofdtekst"/>
        <w:rPr>
          <w:rFonts w:ascii="Arial" w:cs="Arial" w:hAnsi="Arial" w:eastAsia="Arial"/>
          <w:sz w:val="20"/>
          <w:szCs w:val="20"/>
        </w:rPr>
      </w:pPr>
      <w:r>
        <w:rPr>
          <w:rFonts w:ascii="Arial"/>
          <w:sz w:val="20"/>
          <w:szCs w:val="20"/>
          <w:rtl w:val="0"/>
          <w:lang w:val="nl-NL"/>
        </w:rPr>
        <w:t>gegevens over de toezichthoudende autoriteit:</w:t>
      </w:r>
    </w:p>
    <w:p>
      <w:pPr>
        <w:pStyle w:val="Hoofdtekst"/>
        <w:rPr>
          <w:rFonts w:ascii="Arial" w:cs="Arial" w:hAnsi="Arial" w:eastAsia="Arial"/>
          <w:sz w:val="20"/>
          <w:szCs w:val="20"/>
        </w:rPr>
      </w:pPr>
    </w:p>
    <w:p>
      <w:pPr>
        <w:pStyle w:val="Hoofdtekst"/>
        <w:rPr>
          <w:rFonts w:ascii="Arial" w:cs="Arial" w:hAnsi="Arial" w:eastAsia="Arial"/>
          <w:sz w:val="20"/>
          <w:szCs w:val="20"/>
        </w:rPr>
      </w:pPr>
      <w:r>
        <w:rPr>
          <w:rFonts w:ascii="Arial"/>
          <w:sz w:val="20"/>
          <w:szCs w:val="20"/>
          <w:rtl w:val="0"/>
          <w:lang w:val="nl-NL"/>
        </w:rPr>
        <w:t>Indien de ondernemer een gereglementeerd beroep uitoefent:</w:t>
      </w:r>
    </w:p>
    <w:p>
      <w:pPr>
        <w:pStyle w:val="Hoofdtekst"/>
        <w:numPr>
          <w:ilvl w:val="0"/>
          <w:numId w:val="6"/>
        </w:numPr>
        <w:tabs>
          <w:tab w:val="num" w:pos="432"/>
          <w:tab w:val="clear" w:pos="360"/>
        </w:tabs>
        <w:bidi w:val="0"/>
        <w:ind w:left="432" w:right="0" w:hanging="432"/>
        <w:jc w:val="left"/>
        <w:rPr>
          <w:rFonts w:ascii="Arial" w:cs="Arial" w:hAnsi="Arial" w:eastAsia="Arial"/>
          <w:position w:val="0"/>
          <w:sz w:val="24"/>
          <w:szCs w:val="24"/>
          <w:rtl w:val="0"/>
        </w:rPr>
      </w:pPr>
      <w:r>
        <w:rPr>
          <w:rFonts w:ascii="Arial"/>
          <w:sz w:val="20"/>
          <w:szCs w:val="20"/>
          <w:rtl w:val="0"/>
          <w:lang w:val="nl-NL"/>
        </w:rPr>
        <w:t>de beroepsvereniging of -organisatie waarbij hij is aangesloten;</w:t>
      </w:r>
    </w:p>
    <w:p>
      <w:pPr>
        <w:pStyle w:val="Hoofdtekst"/>
        <w:numPr>
          <w:ilvl w:val="0"/>
          <w:numId w:val="6"/>
        </w:numPr>
        <w:tabs>
          <w:tab w:val="num" w:pos="432"/>
          <w:tab w:val="clear" w:pos="360"/>
        </w:tabs>
        <w:bidi w:val="0"/>
        <w:ind w:left="432" w:right="0" w:hanging="432"/>
        <w:jc w:val="left"/>
        <w:rPr>
          <w:rFonts w:ascii="Arial" w:cs="Arial" w:hAnsi="Arial" w:eastAsia="Arial"/>
          <w:position w:val="0"/>
          <w:sz w:val="24"/>
          <w:szCs w:val="24"/>
          <w:rtl w:val="0"/>
        </w:rPr>
      </w:pPr>
      <w:r>
        <w:rPr>
          <w:rFonts w:ascii="Arial"/>
          <w:sz w:val="20"/>
          <w:szCs w:val="20"/>
          <w:rtl w:val="0"/>
          <w:lang w:val="nl-NL"/>
        </w:rPr>
        <w:t>de beroepstitel, de plaats in de EU of de Europese Economische Ruimte waar deze is toegekend;</w:t>
      </w:r>
    </w:p>
    <w:p>
      <w:pPr>
        <w:pStyle w:val="Hoofdtekst"/>
        <w:numPr>
          <w:ilvl w:val="0"/>
          <w:numId w:val="6"/>
        </w:numPr>
        <w:tabs>
          <w:tab w:val="num" w:pos="432"/>
          <w:tab w:val="clear" w:pos="360"/>
        </w:tabs>
        <w:bidi w:val="0"/>
        <w:ind w:left="432" w:right="0" w:hanging="432"/>
        <w:jc w:val="left"/>
        <w:rPr>
          <w:rFonts w:ascii="Arial" w:cs="Arial" w:hAnsi="Arial" w:eastAsia="Arial"/>
          <w:position w:val="0"/>
          <w:sz w:val="24"/>
          <w:szCs w:val="24"/>
          <w:rtl w:val="0"/>
        </w:rPr>
      </w:pPr>
      <w:r>
        <w:rPr>
          <w:rFonts w:ascii="Arial"/>
          <w:sz w:val="20"/>
          <w:szCs w:val="20"/>
          <w:rtl w:val="0"/>
          <w:lang w:val="nl-NL"/>
        </w:rPr>
        <w:t>een verwijzing naar de beroepsregels die in Nederland van toepassing zijn en aanwijzingen waar en hoe deze beroepsregels toegankelijk zijn.</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 xml:space="preserve">Artikel 3 - Toepasselijkheid </w:t>
      </w:r>
    </w:p>
    <w:p>
      <w:pPr>
        <w:pStyle w:val="Hoofdtekst"/>
        <w:numPr>
          <w:ilvl w:val="0"/>
          <w:numId w:val="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Deze algemene voorwaarden zijn van toepassing op elk aanbod van de ondernemer en op elke totstandgekomen overeenkomst op afstand tussen ondernemer en consument.</w:t>
      </w:r>
    </w:p>
    <w:p>
      <w:pPr>
        <w:pStyle w:val="Hoofdtekst"/>
        <w:numPr>
          <w:ilvl w:val="0"/>
          <w:numId w:val="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pPr>
        <w:pStyle w:val="Hoofdtekst"/>
        <w:numPr>
          <w:ilvl w:val="0"/>
          <w:numId w:val="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pPr>
        <w:pStyle w:val="Hoofdtekst"/>
        <w:numPr>
          <w:ilvl w:val="0"/>
          <w:numId w:val="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pPr>
        <w:pStyle w:val="Normal (Web)"/>
        <w:spacing w:before="0" w:after="0"/>
        <w:rPr>
          <w:rFonts w:ascii="Arial" w:cs="Arial" w:hAnsi="Arial" w:eastAsia="Arial"/>
          <w:b w:val="1"/>
          <w:bCs w:val="1"/>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4 - Het aanbod</w:t>
      </w:r>
    </w:p>
    <w:p>
      <w:pPr>
        <w:pStyle w:val="Hoofdtekst"/>
        <w:numPr>
          <w:ilvl w:val="0"/>
          <w:numId w:val="1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een aanbod een beperkte geldigheidsduur heeft of onder voorwaarden geschiedt, wordt dit nadrukkelijk in het aanbod vermeld.</w:t>
      </w:r>
    </w:p>
    <w:p>
      <w:pPr>
        <w:pStyle w:val="Hoofdtekst"/>
        <w:numPr>
          <w:ilvl w:val="0"/>
          <w:numId w:val="1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pPr>
        <w:pStyle w:val="Hoofdtekst"/>
        <w:numPr>
          <w:ilvl w:val="0"/>
          <w:numId w:val="1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Elk aanbod bevat zodanige informatie, dat voor de consument duidelijk is wat de rechten en verplichtingen zijn, die aan de aanvaarding van het aanbod zijn verbonden. Dit betreft in het bijzonder:</w:t>
      </w:r>
    </w:p>
    <w:p>
      <w:pPr>
        <w:pStyle w:val="Hoofdtekst"/>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prijs inclusief belastingen;</w:t>
      </w:r>
    </w:p>
    <w:p>
      <w:pPr>
        <w:pStyle w:val="Hoofdtekst"/>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eventuele kosten van aflevering;</w:t>
      </w:r>
    </w:p>
    <w:p>
      <w:pPr>
        <w:pStyle w:val="Hoofdtekst"/>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wijze waarop de overeenkomst tot stand zal komen en welke handelingen daarvoor nodig zijn;</w:t>
      </w:r>
    </w:p>
    <w:p>
      <w:pPr>
        <w:pStyle w:val="Hoofdtekst"/>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het al dan niet van toepassing zijn van het herroepingsrecht;</w:t>
      </w:r>
    </w:p>
    <w:p>
      <w:pPr>
        <w:pStyle w:val="Hoofdtekst"/>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wijze van betaling, aflevering en uitvoering van de overeenkomst;</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termijn voor aanvaarding van het aanbod, dan wel de termijn waarbinnen de ondernemer de prijs garandeert;</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hoogte van het tarief voor communicatie op afstand indien de kosten van het gebruik van de techniek voor communicatie op afstand worden berekend op een andere grondslag dan het reguliere basistarief voor het gebruikte communicatiemiddel;</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of de overeenkomst na de totstandkoming wordt gearchiveerd, en zo ja op welke wijze deze voor de consument te raadplegen is;</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manier waarop de consument, voor het sluiten van de overeenkomst, de door hem in het kader van de overeenkomst verstrekte gegevens kan controleren en indien gewenst herstellen;</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eventuele andere talen waarin, naast het Nederlands, de overeenkomst kan worden gesloten;</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gedragscodes waaraan de ondernemer zich heeft onderworpen en de wijze waarop de consument deze gedragscodes langs elektronische weg kan raadplegen; en</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de minimale duur van de overeenkomst op afstand in geval van een duurtransactie.</w:t>
      </w:r>
    </w:p>
    <w:p>
      <w:pPr>
        <w:pStyle w:val="Hoofdtekst"/>
        <w:ind w:left="1080" w:firstLine="0"/>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5 - De overeenkomst</w:t>
      </w:r>
    </w:p>
    <w:p>
      <w:pPr>
        <w:pStyle w:val="Hoofdtekst"/>
        <w:numPr>
          <w:ilvl w:val="0"/>
          <w:numId w:val="1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overeenkomst komt, onder voorbehoud van het bepaalde in lid 4, tot stand op het moment van aanvaarding door de consument van het aanbod en het voldoen aan de daarbij gestelde voorwaarden.</w:t>
      </w:r>
    </w:p>
    <w:p>
      <w:pPr>
        <w:pStyle w:val="Hoofdtekst"/>
        <w:numPr>
          <w:ilvl w:val="0"/>
          <w:numId w:val="1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pPr>
        <w:pStyle w:val="Hoofdtekst"/>
        <w:numPr>
          <w:ilvl w:val="0"/>
          <w:numId w:val="1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pPr>
        <w:pStyle w:val="Hoofdtekst"/>
        <w:numPr>
          <w:ilvl w:val="0"/>
          <w:numId w:val="1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pPr>
        <w:pStyle w:val="Hoofdtekst"/>
        <w:numPr>
          <w:ilvl w:val="0"/>
          <w:numId w:val="1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ondernemer zal bij het product of dienst aan de consument de volgende informatie, schriftelijk of op zodanige wijze dat deze door de consument op een toegankelijke manier kan worden opgeslagen op een duurzame gegevensdrager, meesturen:</w:t>
      </w:r>
    </w:p>
    <w:p>
      <w:pPr>
        <w:pStyle w:val="Hoofdtekst"/>
        <w:ind w:left="360" w:firstLine="0"/>
        <w:rPr>
          <w:rFonts w:ascii="Arial" w:cs="Arial" w:hAnsi="Arial" w:eastAsia="Arial"/>
          <w:sz w:val="20"/>
          <w:szCs w:val="20"/>
        </w:rPr>
      </w:pPr>
      <w:r>
        <w:rPr>
          <w:rFonts w:ascii="Arial"/>
          <w:sz w:val="20"/>
          <w:szCs w:val="20"/>
          <w:rtl w:val="0"/>
          <w:lang w:val="nl-NL"/>
        </w:rPr>
        <w:t>a. het bezoekadres van de vestiging van de ondernemer waar de consument met klachten terecht kan;</w:t>
      </w:r>
    </w:p>
    <w:p>
      <w:pPr>
        <w:pStyle w:val="Hoofdtekst"/>
        <w:ind w:left="360" w:firstLine="0"/>
        <w:rPr>
          <w:rFonts w:ascii="Arial" w:cs="Arial" w:hAnsi="Arial" w:eastAsia="Arial"/>
          <w:sz w:val="20"/>
          <w:szCs w:val="20"/>
        </w:rPr>
      </w:pPr>
      <w:r>
        <w:rPr>
          <w:rFonts w:ascii="Arial"/>
          <w:sz w:val="20"/>
          <w:szCs w:val="20"/>
          <w:rtl w:val="0"/>
          <w:lang w:val="nl-NL"/>
        </w:rPr>
        <w:t>b. de voorwaarden waaronder en de wijze waarop de consument van het herroepingsrecht gebruik kan maken, dan wel een duidelijke melding inzake het uitgesloten zijn van het herroepingsrecht;</w:t>
      </w:r>
    </w:p>
    <w:p>
      <w:pPr>
        <w:pStyle w:val="Hoofdtekst"/>
        <w:ind w:left="360" w:firstLine="0"/>
        <w:rPr>
          <w:rFonts w:ascii="Arial" w:cs="Arial" w:hAnsi="Arial" w:eastAsia="Arial"/>
          <w:sz w:val="20"/>
          <w:szCs w:val="20"/>
        </w:rPr>
      </w:pPr>
      <w:r>
        <w:rPr>
          <w:rFonts w:ascii="Arial"/>
          <w:sz w:val="20"/>
          <w:szCs w:val="20"/>
          <w:rtl w:val="0"/>
          <w:lang w:val="nl-NL"/>
        </w:rPr>
        <w:t>c. de informatie over garanties en bestaande service na aankoop;</w:t>
      </w:r>
    </w:p>
    <w:p>
      <w:pPr>
        <w:pStyle w:val="Hoofdtekst"/>
        <w:ind w:left="360" w:firstLine="0"/>
        <w:rPr>
          <w:rFonts w:ascii="Arial" w:cs="Arial" w:hAnsi="Arial" w:eastAsia="Arial"/>
          <w:sz w:val="20"/>
          <w:szCs w:val="20"/>
        </w:rPr>
      </w:pPr>
      <w:r>
        <w:rPr>
          <w:rFonts w:ascii="Arial"/>
          <w:sz w:val="20"/>
          <w:szCs w:val="20"/>
          <w:rtl w:val="0"/>
          <w:lang w:val="nl-NL"/>
        </w:rPr>
        <w:t>d. de in artikel 4 lid 3 van deze voorwaarden opgenomen gegevens, tenzij de ondernemer deze gegevens al aan de consument heeft verstrekt v</w:t>
      </w:r>
      <w:r>
        <w:rPr>
          <w:rFonts w:hAnsi="Arial" w:hint="default"/>
          <w:sz w:val="20"/>
          <w:szCs w:val="20"/>
          <w:rtl w:val="0"/>
          <w:lang w:val="nl-NL"/>
        </w:rPr>
        <w:t>óó</w:t>
      </w:r>
      <w:r>
        <w:rPr>
          <w:rFonts w:ascii="Arial"/>
          <w:sz w:val="20"/>
          <w:szCs w:val="20"/>
          <w:rtl w:val="0"/>
          <w:lang w:val="nl-NL"/>
        </w:rPr>
        <w:t>r de uitvoering van de overeenkomst;</w:t>
      </w:r>
    </w:p>
    <w:p>
      <w:pPr>
        <w:pStyle w:val="Hoofdtekst"/>
        <w:ind w:left="360" w:firstLine="0"/>
        <w:rPr>
          <w:rFonts w:ascii="Arial" w:cs="Arial" w:hAnsi="Arial" w:eastAsia="Arial"/>
          <w:sz w:val="20"/>
          <w:szCs w:val="20"/>
        </w:rPr>
      </w:pPr>
      <w:r>
        <w:rPr>
          <w:rFonts w:ascii="Arial"/>
          <w:sz w:val="20"/>
          <w:szCs w:val="20"/>
          <w:rtl w:val="0"/>
          <w:lang w:val="nl-NL"/>
        </w:rPr>
        <w:t xml:space="preserve">e. de vereisten voor opzegging van de overeenkomst indien de overeenkomst een duur heeft van meer dan </w:t>
      </w:r>
      <w:r>
        <w:rPr>
          <w:rFonts w:hAnsi="Arial" w:hint="default"/>
          <w:sz w:val="20"/>
          <w:szCs w:val="20"/>
          <w:rtl w:val="0"/>
          <w:lang w:val="nl-NL"/>
        </w:rPr>
        <w:t>éé</w:t>
      </w:r>
      <w:r>
        <w:rPr>
          <w:rFonts w:ascii="Arial"/>
          <w:sz w:val="20"/>
          <w:szCs w:val="20"/>
          <w:rtl w:val="0"/>
          <w:lang w:val="nl-NL"/>
        </w:rPr>
        <w:t>n jaar of van onbepaalde duur is.</w:t>
      </w:r>
    </w:p>
    <w:p>
      <w:pPr>
        <w:pStyle w:val="Hoofdtekst"/>
        <w:numPr>
          <w:ilvl w:val="0"/>
          <w:numId w:val="1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 geval van een duurtransactie is de bepaling in het vorige lid slechts van toepassing op de eerste levering.</w:t>
      </w:r>
    </w:p>
    <w:p>
      <w:pPr>
        <w:pStyle w:val="Normal (Web)"/>
        <w:spacing w:before="0" w:after="0"/>
        <w:rPr>
          <w:rFonts w:ascii="Arial" w:cs="Arial" w:hAnsi="Arial" w:eastAsia="Arial"/>
          <w:b w:val="1"/>
          <w:bCs w:val="1"/>
          <w:sz w:val="20"/>
          <w:szCs w:val="20"/>
        </w:rPr>
      </w:pPr>
    </w:p>
    <w:p>
      <w:pPr>
        <w:pStyle w:val="Normal (Web)"/>
        <w:spacing w:before="0" w:after="0"/>
        <w:rPr>
          <w:rFonts w:ascii="Arial" w:cs="Arial" w:hAnsi="Arial" w:eastAsia="Arial"/>
          <w:b w:val="1"/>
          <w:bCs w:val="1"/>
          <w:sz w:val="20"/>
          <w:szCs w:val="20"/>
        </w:rPr>
      </w:pPr>
      <w:r>
        <w:rPr>
          <w:rFonts w:ascii="Arial"/>
          <w:b w:val="1"/>
          <w:bCs w:val="1"/>
          <w:sz w:val="20"/>
          <w:szCs w:val="20"/>
          <w:rtl w:val="0"/>
          <w:lang w:val="nl-NL"/>
        </w:rPr>
        <w:t>Artikel 6 - Herroepingsrecht</w:t>
      </w:r>
    </w:p>
    <w:p>
      <w:pPr>
        <w:pStyle w:val="Hoofdtekst"/>
        <w:rPr>
          <w:rFonts w:ascii="Arial" w:cs="Arial" w:hAnsi="Arial" w:eastAsia="Arial"/>
          <w:i w:val="1"/>
          <w:iCs w:val="1"/>
          <w:color w:val="ff0000"/>
          <w:sz w:val="20"/>
          <w:szCs w:val="20"/>
          <w:u w:color="ff0000"/>
        </w:rPr>
      </w:pPr>
      <w:r>
        <w:rPr>
          <w:rFonts w:ascii="Arial"/>
          <w:i w:val="1"/>
          <w:iCs w:val="1"/>
          <w:color w:val="ff0000"/>
          <w:sz w:val="20"/>
          <w:szCs w:val="20"/>
          <w:u w:color="ff0000"/>
          <w:rtl w:val="0"/>
          <w:lang w:val="nl-NL"/>
        </w:rPr>
        <w:t>Bij levering van producten:</w:t>
      </w:r>
    </w:p>
    <w:p>
      <w:pPr>
        <w:pStyle w:val="List Paragraph"/>
        <w:numPr>
          <w:ilvl w:val="0"/>
          <w:numId w:val="21"/>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pPr>
        <w:pStyle w:val="List Paragraph"/>
        <w:numPr>
          <w:ilvl w:val="0"/>
          <w:numId w:val="21"/>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pPr>
        <w:pStyle w:val="Hoofdtekst"/>
        <w:rPr>
          <w:rFonts w:ascii="Arial" w:cs="Arial" w:hAnsi="Arial" w:eastAsia="Arial"/>
          <w:i w:val="1"/>
          <w:iCs w:val="1"/>
          <w:color w:val="ff0000"/>
          <w:sz w:val="20"/>
          <w:szCs w:val="20"/>
          <w:u w:color="ff0000"/>
        </w:rPr>
      </w:pPr>
      <w:r>
        <w:rPr>
          <w:rFonts w:ascii="Arial"/>
          <w:i w:val="1"/>
          <w:iCs w:val="1"/>
          <w:color w:val="ff0000"/>
          <w:sz w:val="20"/>
          <w:szCs w:val="20"/>
          <w:u w:color="ff0000"/>
          <w:rtl w:val="0"/>
          <w:lang w:val="nl-NL"/>
        </w:rPr>
        <w:t>Bij levering van diensten:</w:t>
      </w:r>
    </w:p>
    <w:p>
      <w:pPr>
        <w:pStyle w:val="List Paragraph"/>
        <w:numPr>
          <w:ilvl w:val="0"/>
          <w:numId w:val="21"/>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Bij levering van diensten heeft de consument de mogelijkheid de overeenkomst zonder opgave van redenen te ontbinden gedurende ten minste veertien dagen, ingaande op de dag van het aangaan van de overeenkomst.</w:t>
      </w:r>
    </w:p>
    <w:p>
      <w:pPr>
        <w:pStyle w:val="List Paragraph"/>
        <w:numPr>
          <w:ilvl w:val="0"/>
          <w:numId w:val="21"/>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Om gebruik te maken van zijn herroepingsrecht, zal de consument zich richten naar de door de ondernemer bij het aanbod en/of uiterlijk bij de levering ter zake verstrekte redelijke en duidelijke instructies.</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 xml:space="preserve">Artikel 7 - Kosten in geval van herroeping </w:t>
      </w:r>
    </w:p>
    <w:p>
      <w:pPr>
        <w:pStyle w:val="Hoofdtekst"/>
        <w:numPr>
          <w:ilvl w:val="0"/>
          <w:numId w:val="24"/>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de consument gebruik maakt van zijn herroepingsrecht, komen ten hoogste de kosten van terugzending voor zijn rekening.</w:t>
      </w:r>
    </w:p>
    <w:p>
      <w:pPr>
        <w:pStyle w:val="Hoofdtekst"/>
        <w:numPr>
          <w:ilvl w:val="0"/>
          <w:numId w:val="24"/>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de consument een bedrag betaald heeft, zal de ondernemer dit bedrag zo spoedig mogelijk, doch uiterlijk binnen 30 dagen na de terugzending of herroeping, terugbetalen.</w:t>
      </w:r>
    </w:p>
    <w:p>
      <w:pPr>
        <w:pStyle w:val="Normal (Web)"/>
        <w:spacing w:before="0" w:after="0"/>
        <w:rPr>
          <w:rFonts w:ascii="Arial" w:cs="Arial" w:hAnsi="Arial" w:eastAsia="Arial"/>
          <w:b w:val="1"/>
          <w:bCs w:val="1"/>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8 - Uitsluiting herroepingsrecht</w:t>
      </w:r>
    </w:p>
    <w:p>
      <w:pPr>
        <w:pStyle w:val="Hoofdtekst"/>
        <w:numPr>
          <w:ilvl w:val="0"/>
          <w:numId w:val="27"/>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ondernemer kan het herroepingsrecht van de consument uitsluiten voor zover voorzien in lid 2 en 3. De uitsluiting van het herroepingsrecht geldt slechts indien de ondernemer dit duidelijk in het aanbod, althans tijdig voor het sluiten van de overeenkomst, heeft vermeld.</w:t>
      </w:r>
    </w:p>
    <w:p>
      <w:pPr>
        <w:pStyle w:val="Hoofdtekst"/>
        <w:numPr>
          <w:ilvl w:val="0"/>
          <w:numId w:val="27"/>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 xml:space="preserve">Uitsluiting van het herroepingsrecht is slechts mogelijk voor producten: </w:t>
      </w:r>
    </w:p>
    <w:p>
      <w:pPr>
        <w:pStyle w:val="Hoofdtekst"/>
        <w:ind w:left="360" w:firstLine="0"/>
        <w:rPr>
          <w:rFonts w:ascii="Arial" w:cs="Arial" w:hAnsi="Arial" w:eastAsia="Arial"/>
          <w:sz w:val="20"/>
          <w:szCs w:val="20"/>
        </w:rPr>
      </w:pPr>
      <w:r>
        <w:rPr>
          <w:rFonts w:ascii="Arial"/>
          <w:sz w:val="20"/>
          <w:szCs w:val="20"/>
          <w:rtl w:val="0"/>
          <w:lang w:val="nl-NL"/>
        </w:rPr>
        <w:t>a. die door de ondernemer tot stand zijn gebracht overeenkomstig specificaties van de consument;</w:t>
      </w:r>
    </w:p>
    <w:p>
      <w:pPr>
        <w:pStyle w:val="Hoofdtekst"/>
        <w:ind w:left="360" w:firstLine="0"/>
        <w:rPr>
          <w:rFonts w:ascii="Arial" w:cs="Arial" w:hAnsi="Arial" w:eastAsia="Arial"/>
          <w:sz w:val="20"/>
          <w:szCs w:val="20"/>
        </w:rPr>
      </w:pPr>
      <w:r>
        <w:rPr>
          <w:rFonts w:ascii="Arial"/>
          <w:sz w:val="20"/>
          <w:szCs w:val="20"/>
          <w:rtl w:val="0"/>
          <w:lang w:val="nl-NL"/>
        </w:rPr>
        <w:t>b. die duidelijk persoonlijk van aard zijn;</w:t>
      </w:r>
    </w:p>
    <w:p>
      <w:pPr>
        <w:pStyle w:val="Hoofdtekst"/>
        <w:ind w:left="360" w:firstLine="0"/>
        <w:rPr>
          <w:rFonts w:ascii="Arial" w:cs="Arial" w:hAnsi="Arial" w:eastAsia="Arial"/>
          <w:sz w:val="20"/>
          <w:szCs w:val="20"/>
        </w:rPr>
      </w:pPr>
      <w:r>
        <w:rPr>
          <w:rFonts w:ascii="Arial"/>
          <w:sz w:val="20"/>
          <w:szCs w:val="20"/>
          <w:rtl w:val="0"/>
          <w:lang w:val="nl-NL"/>
        </w:rPr>
        <w:t>c. die door hun aard niet kunnen worden teruggezonden;</w:t>
      </w:r>
    </w:p>
    <w:p>
      <w:pPr>
        <w:pStyle w:val="Hoofdtekst"/>
        <w:ind w:left="360" w:firstLine="0"/>
        <w:rPr>
          <w:rFonts w:ascii="Arial" w:cs="Arial" w:hAnsi="Arial" w:eastAsia="Arial"/>
          <w:sz w:val="20"/>
          <w:szCs w:val="20"/>
        </w:rPr>
      </w:pPr>
      <w:r>
        <w:rPr>
          <w:rFonts w:ascii="Arial"/>
          <w:sz w:val="20"/>
          <w:szCs w:val="20"/>
          <w:rtl w:val="0"/>
          <w:lang w:val="nl-NL"/>
        </w:rPr>
        <w:t>d. die snel kunnen bederven of verouderen;</w:t>
      </w:r>
    </w:p>
    <w:p>
      <w:pPr>
        <w:pStyle w:val="Hoofdtekst"/>
        <w:ind w:left="360" w:firstLine="0"/>
        <w:rPr>
          <w:rFonts w:ascii="Arial" w:cs="Arial" w:hAnsi="Arial" w:eastAsia="Arial"/>
          <w:sz w:val="20"/>
          <w:szCs w:val="20"/>
        </w:rPr>
      </w:pPr>
      <w:r>
        <w:rPr>
          <w:rFonts w:ascii="Arial"/>
          <w:sz w:val="20"/>
          <w:szCs w:val="20"/>
          <w:rtl w:val="0"/>
          <w:lang w:val="nl-NL"/>
        </w:rPr>
        <w:t>e. waarvan de prijs gebonden is aan schommelingen op de financi</w:t>
      </w:r>
      <w:r>
        <w:rPr>
          <w:rFonts w:hAnsi="Arial" w:hint="default"/>
          <w:sz w:val="20"/>
          <w:szCs w:val="20"/>
          <w:rtl w:val="0"/>
          <w:lang w:val="nl-NL"/>
        </w:rPr>
        <w:t>ë</w:t>
      </w:r>
      <w:r>
        <w:rPr>
          <w:rFonts w:ascii="Arial"/>
          <w:sz w:val="20"/>
          <w:szCs w:val="20"/>
          <w:rtl w:val="0"/>
          <w:lang w:val="nl-NL"/>
        </w:rPr>
        <w:t>le markt waarop de ondernemer geen invloed heeft;</w:t>
      </w:r>
    </w:p>
    <w:p>
      <w:pPr>
        <w:pStyle w:val="Hoofdtekst"/>
        <w:ind w:left="360" w:firstLine="0"/>
        <w:rPr>
          <w:rFonts w:ascii="Arial" w:cs="Arial" w:hAnsi="Arial" w:eastAsia="Arial"/>
          <w:sz w:val="20"/>
          <w:szCs w:val="20"/>
        </w:rPr>
      </w:pPr>
      <w:r>
        <w:rPr>
          <w:rFonts w:ascii="Arial"/>
          <w:sz w:val="20"/>
          <w:szCs w:val="20"/>
          <w:rtl w:val="0"/>
          <w:lang w:val="nl-NL"/>
        </w:rPr>
        <w:t>f. voor losse kranten en tijdschriften;</w:t>
      </w:r>
    </w:p>
    <w:p>
      <w:pPr>
        <w:pStyle w:val="Hoofdtekst"/>
        <w:ind w:left="360" w:firstLine="0"/>
        <w:rPr>
          <w:rFonts w:ascii="Arial" w:cs="Arial" w:hAnsi="Arial" w:eastAsia="Arial"/>
          <w:sz w:val="20"/>
          <w:szCs w:val="20"/>
        </w:rPr>
      </w:pPr>
      <w:r>
        <w:rPr>
          <w:rFonts w:ascii="Arial"/>
          <w:sz w:val="20"/>
          <w:szCs w:val="20"/>
          <w:rtl w:val="0"/>
          <w:lang w:val="nl-NL"/>
        </w:rPr>
        <w:t>g. voor audio- en video-opnamen en computersoftware waarvan de consument de verzegeling heeft verbroken.</w:t>
      </w:r>
    </w:p>
    <w:p>
      <w:pPr>
        <w:pStyle w:val="Hoofdtekst"/>
        <w:numPr>
          <w:ilvl w:val="0"/>
          <w:numId w:val="27"/>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Uitsluiting van het herroepingsrecht is slechts mogelijk voor diensten:</w:t>
      </w:r>
    </w:p>
    <w:p>
      <w:pPr>
        <w:pStyle w:val="Hoofdtekst"/>
        <w:ind w:left="360" w:firstLine="0"/>
        <w:rPr>
          <w:rFonts w:ascii="Arial" w:cs="Arial" w:hAnsi="Arial" w:eastAsia="Arial"/>
          <w:sz w:val="20"/>
          <w:szCs w:val="20"/>
        </w:rPr>
      </w:pPr>
      <w:r>
        <w:rPr>
          <w:rFonts w:ascii="Arial"/>
          <w:sz w:val="20"/>
          <w:szCs w:val="20"/>
          <w:rtl w:val="0"/>
          <w:lang w:val="nl-NL"/>
        </w:rPr>
        <w:t>a. betreffende logies, vervoer, restaurantbedrijf of vrijetijdsbesteding te verrichten op een bepaalde datum of tijdens een bepaalde periode;</w:t>
      </w:r>
    </w:p>
    <w:p>
      <w:pPr>
        <w:pStyle w:val="Hoofdtekst"/>
        <w:ind w:left="360" w:firstLine="0"/>
        <w:rPr>
          <w:rFonts w:ascii="Arial" w:cs="Arial" w:hAnsi="Arial" w:eastAsia="Arial"/>
          <w:sz w:val="20"/>
          <w:szCs w:val="20"/>
        </w:rPr>
      </w:pPr>
      <w:r>
        <w:rPr>
          <w:rFonts w:ascii="Arial"/>
          <w:sz w:val="20"/>
          <w:szCs w:val="20"/>
          <w:rtl w:val="0"/>
          <w:lang w:val="nl-NL"/>
        </w:rPr>
        <w:t>b. waarvan de levering met uitdrukkelijke instemming van de consument is begonnen voordat de bedenktijd is verstreken;</w:t>
      </w:r>
    </w:p>
    <w:p>
      <w:pPr>
        <w:pStyle w:val="Hoofdtekst"/>
        <w:ind w:firstLine="360"/>
        <w:rPr>
          <w:rFonts w:ascii="Arial" w:cs="Arial" w:hAnsi="Arial" w:eastAsia="Arial"/>
          <w:sz w:val="20"/>
          <w:szCs w:val="20"/>
        </w:rPr>
      </w:pPr>
      <w:r>
        <w:rPr>
          <w:rFonts w:ascii="Arial"/>
          <w:sz w:val="20"/>
          <w:szCs w:val="20"/>
          <w:rtl w:val="0"/>
          <w:lang w:val="nl-NL"/>
        </w:rPr>
        <w:t>c. betreffende weddenschappen en loterijen.</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9 - De prijs</w:t>
      </w:r>
    </w:p>
    <w:p>
      <w:pPr>
        <w:pStyle w:val="Hoofdtekst"/>
        <w:numPr>
          <w:ilvl w:val="0"/>
          <w:numId w:val="30"/>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Gedurende de in het aanbod vermelde geldigheidsduur worden de prijzen van de aangeboden producten en/of diensten niet verhoogd, behoudens prijswijzigingen als gevolg van veranderingen in btw-tarieven.</w:t>
      </w:r>
    </w:p>
    <w:p>
      <w:pPr>
        <w:pStyle w:val="Hoofdtekst"/>
        <w:numPr>
          <w:ilvl w:val="0"/>
          <w:numId w:val="30"/>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 afwijking van het vorige lid kan de ondernemer producten of diensten waarvan de prijzen gebonden zijn aan schommelingen op de financi</w:t>
      </w:r>
      <w:r>
        <w:rPr>
          <w:rFonts w:hAnsi="Arial" w:hint="default"/>
          <w:sz w:val="20"/>
          <w:szCs w:val="20"/>
          <w:rtl w:val="0"/>
          <w:lang w:val="nl-NL"/>
        </w:rPr>
        <w:t>ë</w:t>
      </w:r>
      <w:r>
        <w:rPr>
          <w:rFonts w:ascii="Arial"/>
          <w:sz w:val="20"/>
          <w:szCs w:val="20"/>
          <w:rtl w:val="0"/>
          <w:lang w:val="nl-NL"/>
        </w:rPr>
        <w:t xml:space="preserve">le markt en waar de ondernemer geen invloed op heeft, met variabele prijzen aanbieden. Deze gebondenheid aan schommelingen en het feit dat eventueel vermelde prijzen richtprijzen zijn, worden bij het aanbod vermeld. </w:t>
      </w:r>
    </w:p>
    <w:p>
      <w:pPr>
        <w:pStyle w:val="Hoofdtekst"/>
        <w:numPr>
          <w:ilvl w:val="0"/>
          <w:numId w:val="30"/>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Prijsverhogingen binnen 3 maanden na de totstandkoming van de overeenkomst zijn alleen toegestaan indien zij het gevolg zijn van wettelijke regelingen of bepalingen.</w:t>
      </w:r>
    </w:p>
    <w:p>
      <w:pPr>
        <w:pStyle w:val="Hoofdtekst"/>
        <w:numPr>
          <w:ilvl w:val="0"/>
          <w:numId w:val="30"/>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 xml:space="preserve">Prijsverhogingen vanaf 3 maanden na de totstandkoming van de overeenkomst zijn alleen toegestaan indien de ondernemer dit bedongen heeft en: </w:t>
      </w:r>
    </w:p>
    <w:p>
      <w:pPr>
        <w:pStyle w:val="Hoofdtekst"/>
        <w:ind w:firstLine="360"/>
        <w:rPr>
          <w:rFonts w:ascii="Arial" w:cs="Arial" w:hAnsi="Arial" w:eastAsia="Arial"/>
          <w:sz w:val="20"/>
          <w:szCs w:val="20"/>
        </w:rPr>
      </w:pPr>
      <w:r>
        <w:rPr>
          <w:rFonts w:ascii="Arial"/>
          <w:sz w:val="20"/>
          <w:szCs w:val="20"/>
          <w:rtl w:val="0"/>
          <w:lang w:val="nl-NL"/>
        </w:rPr>
        <w:t>a. deze het gevolg zijn van wettelijke regelingen of bepalingen; of</w:t>
      </w:r>
    </w:p>
    <w:p>
      <w:pPr>
        <w:pStyle w:val="Hoofdtekst"/>
        <w:ind w:left="360" w:firstLine="0"/>
        <w:rPr>
          <w:rFonts w:ascii="Arial" w:cs="Arial" w:hAnsi="Arial" w:eastAsia="Arial"/>
          <w:sz w:val="20"/>
          <w:szCs w:val="20"/>
        </w:rPr>
      </w:pPr>
      <w:r>
        <w:rPr>
          <w:rFonts w:ascii="Arial"/>
          <w:sz w:val="20"/>
          <w:szCs w:val="20"/>
          <w:rtl w:val="0"/>
          <w:lang w:val="nl-NL"/>
        </w:rPr>
        <w:t>b. de consument de bevoegdheid heeft de overeenkomst op te zeggen met ingang van de dag waarop de prijsverhoging ingaat.</w:t>
      </w:r>
    </w:p>
    <w:p>
      <w:pPr>
        <w:pStyle w:val="Hoofdtekst"/>
        <w:numPr>
          <w:ilvl w:val="0"/>
          <w:numId w:val="30"/>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in het aanbod van producten of diensten genoemde prijzen zijn inclusief btw.</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10 - Conformiteit en Garantie</w:t>
      </w:r>
    </w:p>
    <w:p>
      <w:pPr>
        <w:pStyle w:val="List Paragraph"/>
        <w:numPr>
          <w:ilvl w:val="0"/>
          <w:numId w:val="33"/>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pPr>
        <w:pStyle w:val="List Paragraph"/>
        <w:numPr>
          <w:ilvl w:val="0"/>
          <w:numId w:val="33"/>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Een door de ondernemer, fabrikant of importeur verstrekte garantie doet niets af aan de wettelijke rechten en vorderingen die de consument op grond van de overeenkomst tegenover de ondernemer kan doen gelden.</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11 - Levering en uitvoering</w:t>
      </w:r>
    </w:p>
    <w:p>
      <w:pPr>
        <w:pStyle w:val="Hoofdtekst"/>
        <w:numPr>
          <w:ilvl w:val="0"/>
          <w:numId w:val="36"/>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ondernemer zal de grootst mogelijke zorgvuldigheid in acht nemen bij het in ontvangst nemen en bij de uitvoering van bestellingen van producten en bij de beoordeling van aanvragen tot verlening van diensten.</w:t>
      </w:r>
    </w:p>
    <w:p>
      <w:pPr>
        <w:pStyle w:val="Hoofdtekst"/>
        <w:numPr>
          <w:ilvl w:val="0"/>
          <w:numId w:val="36"/>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Als plaats van levering geldt het adres dat de consument aan het bedrijf kenbaar heeft gemaakt.</w:t>
      </w:r>
    </w:p>
    <w:p>
      <w:pPr>
        <w:pStyle w:val="Hoofdtekst"/>
        <w:numPr>
          <w:ilvl w:val="0"/>
          <w:numId w:val="36"/>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pPr>
        <w:pStyle w:val="Hoofdtekst"/>
        <w:numPr>
          <w:ilvl w:val="0"/>
          <w:numId w:val="36"/>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 geval van ontbinding conform het vorige lid zal de ondernemer het bedrag dat de consument betaald heeft zo spoedig mogelijk, doch uiterlijk binnen 30 dagen na ontbinding, terugbetalen.</w:t>
      </w:r>
    </w:p>
    <w:p>
      <w:pPr>
        <w:pStyle w:val="Hoofdtekst"/>
        <w:numPr>
          <w:ilvl w:val="0"/>
          <w:numId w:val="36"/>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pPr>
        <w:pStyle w:val="Hoofdtekst"/>
        <w:numPr>
          <w:ilvl w:val="0"/>
          <w:numId w:val="36"/>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Het risico van beschadiging en/of vermissing van producten berust bij de ondernemer tot het moment van bezorging aan de consument of een vooraf aangewezen en aan de ondernemer bekend gemaakte vertegenwoordiger, tenzij uitdrukkelijk anders is overeengekomen.</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12 - Duurtransacties: duur, opzegging en verlenging</w:t>
      </w:r>
    </w:p>
    <w:p>
      <w:pPr>
        <w:pStyle w:val="Hoofdtekst"/>
        <w:rPr>
          <w:rFonts w:ascii="Arial" w:cs="Arial" w:hAnsi="Arial" w:eastAsia="Arial"/>
          <w:sz w:val="20"/>
          <w:szCs w:val="20"/>
        </w:rPr>
      </w:pPr>
      <w:r>
        <w:rPr>
          <w:rFonts w:ascii="Arial"/>
          <w:i w:val="1"/>
          <w:iCs w:val="1"/>
          <w:sz w:val="20"/>
          <w:szCs w:val="20"/>
          <w:rtl w:val="0"/>
          <w:lang w:val="nl-NL"/>
        </w:rPr>
        <w:t>Opzegging</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consument kan een overeenkomst die voor onbepaalde tijd is aangegaan en die strekt tot het geregeld afleveren van producten (elektriciteit daaronder begrepen)</w:t>
      </w:r>
      <w:r>
        <w:rPr>
          <w:rFonts w:hAnsi="Arial" w:hint="default"/>
          <w:sz w:val="20"/>
          <w:szCs w:val="20"/>
          <w:rtl w:val="0"/>
          <w:lang w:val="nl-NL"/>
        </w:rPr>
        <w:t xml:space="preserve">  </w:t>
      </w:r>
      <w:r>
        <w:rPr>
          <w:rFonts w:ascii="Arial"/>
          <w:sz w:val="20"/>
          <w:szCs w:val="20"/>
          <w:rtl w:val="0"/>
          <w:lang w:val="nl-NL"/>
        </w:rPr>
        <w:t xml:space="preserve">of diensten, te allen tijde opzeggen met inachtneming van daartoe overeengekomen opzeggingsregels en een opzegtermijn van ten hoogste </w:t>
      </w:r>
      <w:r>
        <w:rPr>
          <w:rFonts w:hAnsi="Arial" w:hint="default"/>
          <w:sz w:val="20"/>
          <w:szCs w:val="20"/>
          <w:rtl w:val="0"/>
          <w:lang w:val="nl-NL"/>
        </w:rPr>
        <w:t>éé</w:t>
      </w:r>
      <w:r>
        <w:rPr>
          <w:rFonts w:ascii="Arial"/>
          <w:sz w:val="20"/>
          <w:szCs w:val="20"/>
          <w:rtl w:val="0"/>
          <w:lang w:val="nl-NL"/>
        </w:rPr>
        <w:t>n maand.</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consument kan een overeenkomst die voor bepaalde tijd is aangegaan en die strekt tot het geregeld afleveren van producten (elektriciteit daaronder begrepen)</w:t>
      </w:r>
      <w:r>
        <w:rPr>
          <w:rFonts w:hAnsi="Arial" w:hint="default"/>
          <w:sz w:val="20"/>
          <w:szCs w:val="20"/>
          <w:rtl w:val="0"/>
          <w:lang w:val="nl-NL"/>
        </w:rPr>
        <w:t xml:space="preserve">  </w:t>
      </w:r>
      <w:r>
        <w:rPr>
          <w:rFonts w:ascii="Arial"/>
          <w:sz w:val="20"/>
          <w:szCs w:val="20"/>
          <w:rtl w:val="0"/>
          <w:lang w:val="nl-NL"/>
        </w:rPr>
        <w:t xml:space="preserve">of diensten, te allen tijde tegen het einde van de bepaalde duur opzeggen met inachtneming van daartoe overeengekomen opzeggingsregels en een opzegtermijn van ten hoogste </w:t>
      </w:r>
      <w:r>
        <w:rPr>
          <w:rFonts w:hAnsi="Arial" w:hint="default"/>
          <w:sz w:val="20"/>
          <w:szCs w:val="20"/>
          <w:rtl w:val="0"/>
          <w:lang w:val="nl-NL"/>
        </w:rPr>
        <w:t>éé</w:t>
      </w:r>
      <w:r>
        <w:rPr>
          <w:rFonts w:ascii="Arial"/>
          <w:sz w:val="20"/>
          <w:szCs w:val="20"/>
          <w:rtl w:val="0"/>
          <w:lang w:val="nl-NL"/>
        </w:rPr>
        <w:t>n maand.</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consument kan de in de vorige leden genoemde overeenkomsten:</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te allen tijde opzeggen en niet beperkt worden tot opzegging op een bepaald tijdstip of in een bepaalde periode;</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tenminste opzeggen op dezelfde wijze als zij door hem zijn aangegaan;</w:t>
      </w:r>
    </w:p>
    <w:p>
      <w:pPr>
        <w:pStyle w:val="List Paragraph"/>
        <w:numPr>
          <w:ilvl w:val="1"/>
          <w:numId w:val="15"/>
        </w:numPr>
        <w:tabs>
          <w:tab w:val="num" w:pos="857"/>
          <w:tab w:val="clear" w:pos="785"/>
        </w:tabs>
        <w:bidi w:val="0"/>
        <w:ind w:left="857" w:right="0" w:hanging="432"/>
        <w:jc w:val="left"/>
        <w:rPr>
          <w:rFonts w:ascii="Arial" w:cs="Arial" w:hAnsi="Arial" w:eastAsia="Arial"/>
          <w:position w:val="0"/>
          <w:sz w:val="24"/>
          <w:szCs w:val="24"/>
          <w:rtl w:val="0"/>
        </w:rPr>
      </w:pPr>
      <w:r>
        <w:rPr>
          <w:rFonts w:ascii="Arial"/>
          <w:sz w:val="20"/>
          <w:szCs w:val="20"/>
          <w:rtl w:val="0"/>
          <w:lang w:val="nl-NL"/>
        </w:rPr>
        <w:t>altijd opzeggen met dezelfde opzegtermijn als de ondernemer voor zichzelf heeft bedongen.</w:t>
      </w:r>
    </w:p>
    <w:p>
      <w:pPr>
        <w:pStyle w:val="Hoofdtekst"/>
        <w:rPr>
          <w:rFonts w:ascii="Arial" w:cs="Arial" w:hAnsi="Arial" w:eastAsia="Arial"/>
          <w:sz w:val="20"/>
          <w:szCs w:val="20"/>
        </w:rPr>
      </w:pPr>
      <w:r>
        <w:rPr>
          <w:rFonts w:ascii="Arial"/>
          <w:i w:val="1"/>
          <w:iCs w:val="1"/>
          <w:sz w:val="20"/>
          <w:szCs w:val="20"/>
          <w:rtl w:val="0"/>
          <w:lang w:val="nl-NL"/>
        </w:rPr>
        <w:t>Verlenging</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Een overeenkomst die voor bepaalde</w:t>
      </w:r>
      <w:r>
        <w:rPr>
          <w:rFonts w:hAnsi="Arial" w:hint="default"/>
          <w:sz w:val="20"/>
          <w:szCs w:val="20"/>
          <w:rtl w:val="0"/>
          <w:lang w:val="nl-NL"/>
        </w:rPr>
        <w:t xml:space="preserve">  </w:t>
      </w:r>
      <w:r>
        <w:rPr>
          <w:rFonts w:ascii="Arial"/>
          <w:sz w:val="20"/>
          <w:szCs w:val="20"/>
          <w:rtl w:val="0"/>
          <w:lang w:val="nl-NL"/>
        </w:rPr>
        <w:t>tijd is aangegaan en die strekt tot het geregeld afleveren van producten (elektriciteit daaronder begrepen) of diensten, mag niet stilzwijgend worden verlengd of vernieuwd voor een bepaalde duur.</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 afwijking van het vorige lid mag een overeenkomst die voor bepaalde</w:t>
      </w:r>
      <w:r>
        <w:rPr>
          <w:rFonts w:hAnsi="Arial" w:hint="default"/>
          <w:sz w:val="20"/>
          <w:szCs w:val="20"/>
          <w:rtl w:val="0"/>
          <w:lang w:val="nl-NL"/>
        </w:rPr>
        <w:t xml:space="preserve">  </w:t>
      </w:r>
      <w:r>
        <w:rPr>
          <w:rFonts w:ascii="Arial"/>
          <w:sz w:val="20"/>
          <w:szCs w:val="20"/>
          <w:rtl w:val="0"/>
          <w:lang w:val="nl-NL"/>
        </w:rPr>
        <w:t>tijd</w:t>
      </w:r>
      <w:r>
        <w:rPr>
          <w:rFonts w:hAnsi="Arial" w:hint="default"/>
          <w:sz w:val="20"/>
          <w:szCs w:val="20"/>
          <w:rtl w:val="0"/>
          <w:lang w:val="nl-NL"/>
        </w:rPr>
        <w:t xml:space="preserve">  </w:t>
      </w:r>
      <w:r>
        <w:rPr>
          <w:rFonts w:ascii="Arial"/>
          <w:sz w:val="20"/>
          <w:szCs w:val="20"/>
          <w:rtl w:val="0"/>
          <w:lang w:val="nl-NL"/>
        </w:rPr>
        <w:t xml:space="preserve">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w:t>
      </w:r>
      <w:r>
        <w:rPr>
          <w:rFonts w:hAnsi="Arial" w:hint="default"/>
          <w:sz w:val="20"/>
          <w:szCs w:val="20"/>
          <w:rtl w:val="0"/>
          <w:lang w:val="nl-NL"/>
        </w:rPr>
        <w:t>éé</w:t>
      </w:r>
      <w:r>
        <w:rPr>
          <w:rFonts w:ascii="Arial"/>
          <w:sz w:val="20"/>
          <w:szCs w:val="20"/>
          <w:rtl w:val="0"/>
          <w:lang w:val="nl-NL"/>
        </w:rPr>
        <w:t>n maand.</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w:t>
      </w:r>
      <w:r>
        <w:rPr>
          <w:rFonts w:hAnsi="Arial" w:hint="default"/>
          <w:sz w:val="20"/>
          <w:szCs w:val="20"/>
          <w:rtl w:val="0"/>
          <w:lang w:val="nl-NL"/>
        </w:rPr>
        <w:t>éé</w:t>
      </w:r>
      <w:r>
        <w:rPr>
          <w:rFonts w:ascii="Arial"/>
          <w:sz w:val="20"/>
          <w:szCs w:val="20"/>
          <w:rtl w:val="0"/>
          <w:lang w:val="nl-NL"/>
        </w:rPr>
        <w:t>n maand en een opzegtermijn van ten hoogste drie maanden in geval de overeenkomst strekt tot het geregeld, maar minder dan eenmaal per maand, afleveren van dag-, nieuws- en weekbladen en tijdschriften.</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Een overeenkomst met beperkte duur tot het geregeld ter kennismaking afleveren van dag-, nieuws- en weekbladen en tijdschriften (proef- of kennismakingsabonnement)</w:t>
      </w:r>
      <w:r>
        <w:rPr>
          <w:rFonts w:hAnsi="Arial" w:hint="default"/>
          <w:sz w:val="20"/>
          <w:szCs w:val="20"/>
          <w:rtl w:val="0"/>
          <w:lang w:val="nl-NL"/>
        </w:rPr>
        <w:t xml:space="preserve">  </w:t>
      </w:r>
      <w:r>
        <w:rPr>
          <w:rFonts w:ascii="Arial"/>
          <w:sz w:val="20"/>
          <w:szCs w:val="20"/>
          <w:rtl w:val="0"/>
          <w:lang w:val="nl-NL"/>
        </w:rPr>
        <w:t>wordt niet stilzwijgend voortgezet en eindigt automatisch na afloop van de proef- of kennismakingsperiode.</w:t>
      </w:r>
    </w:p>
    <w:p>
      <w:pPr>
        <w:pStyle w:val="Hoofdtekst"/>
        <w:rPr>
          <w:rFonts w:ascii="Arial" w:cs="Arial" w:hAnsi="Arial" w:eastAsia="Arial"/>
          <w:sz w:val="20"/>
          <w:szCs w:val="20"/>
        </w:rPr>
      </w:pPr>
      <w:r>
        <w:rPr>
          <w:rFonts w:ascii="Arial"/>
          <w:i w:val="1"/>
          <w:iCs w:val="1"/>
          <w:sz w:val="20"/>
          <w:szCs w:val="20"/>
          <w:rtl w:val="0"/>
          <w:lang w:val="nl-NL"/>
        </w:rPr>
        <w:t>Duur</w:t>
      </w:r>
    </w:p>
    <w:p>
      <w:pPr>
        <w:pStyle w:val="Hoofdtekst"/>
        <w:numPr>
          <w:ilvl w:val="0"/>
          <w:numId w:val="39"/>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Als een overeenkomst een duur van meer dan een jaar heeft, mag de consument na een jaar de overeenkomst te allen tijde met een opzegtermijn van ten hoogste een maand opzeggen, tenzij de redelijkheid en billijkheid zich tegen opzegging v</w:t>
      </w:r>
      <w:r>
        <w:rPr>
          <w:rFonts w:hAnsi="Arial" w:hint="default"/>
          <w:sz w:val="20"/>
          <w:szCs w:val="20"/>
          <w:rtl w:val="0"/>
          <w:lang w:val="nl-NL"/>
        </w:rPr>
        <w:t>óó</w:t>
      </w:r>
      <w:r>
        <w:rPr>
          <w:rFonts w:ascii="Arial"/>
          <w:sz w:val="20"/>
          <w:szCs w:val="20"/>
          <w:rtl w:val="0"/>
          <w:lang w:val="nl-NL"/>
        </w:rPr>
        <w:t>r het einde van de overeengekomen duur verzetten.</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13 - Betaling</w:t>
      </w:r>
    </w:p>
    <w:p>
      <w:pPr>
        <w:pStyle w:val="Hoofdtekst"/>
        <w:numPr>
          <w:ilvl w:val="0"/>
          <w:numId w:val="4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Voorzover niet anders is overeengekomen, dienen de door de consument verschuldigde bedragen te worden voldaan binnen 14 dagen na het ingaan van de bedenktermijn als bedoeld in artikel 6 lid 1. In geval van een overeenkomst tot het verlenen van een dienst, vangt deze termijn aan nadat de consument de bevestiging van de overeenkomst heeft ontvangen.</w:t>
      </w:r>
    </w:p>
    <w:p>
      <w:pPr>
        <w:pStyle w:val="Hoofdtekst"/>
        <w:numPr>
          <w:ilvl w:val="0"/>
          <w:numId w:val="4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p>
    <w:p>
      <w:pPr>
        <w:pStyle w:val="Hoofdtekst"/>
        <w:numPr>
          <w:ilvl w:val="0"/>
          <w:numId w:val="4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consument heeft de plicht om onjuistheden in verstrekte of vermelde betaalgegevens onverwijld aan de ondernemer te melden.</w:t>
      </w:r>
    </w:p>
    <w:p>
      <w:pPr>
        <w:pStyle w:val="Hoofdtekst"/>
        <w:numPr>
          <w:ilvl w:val="0"/>
          <w:numId w:val="42"/>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 geval van wanbetaling van de consument heeft de ondernemer behoudens wettelijke beperkingen, het recht om de vooraf aan de consument kenbaar gemaakte redelijke kosten in rekening te brengen.</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14 - Klachtenregeling</w:t>
      </w:r>
    </w:p>
    <w:p>
      <w:pPr>
        <w:pStyle w:val="Hoofdtekst"/>
        <w:numPr>
          <w:ilvl w:val="0"/>
          <w:numId w:val="45"/>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De ondernemer beschikt over een voldoende bekend gemaakte klachtenprocedure en behandelt de klacht overeenkomstig deze klachtenprocedure.</w:t>
      </w:r>
    </w:p>
    <w:p>
      <w:pPr>
        <w:pStyle w:val="Hoofdtekst"/>
        <w:numPr>
          <w:ilvl w:val="0"/>
          <w:numId w:val="45"/>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Klachten over de uitvoering van de overeenkomst moeten binnen bekwame tijd, volledig en duidelijk omschreven worden ingediend bij de ondernemer, nadat de consument de gebreken heeft geconstateerd.</w:t>
      </w:r>
    </w:p>
    <w:p>
      <w:pPr>
        <w:pStyle w:val="Hoofdtekst"/>
        <w:numPr>
          <w:ilvl w:val="0"/>
          <w:numId w:val="45"/>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pPr>
        <w:pStyle w:val="Hoofdtekst"/>
        <w:numPr>
          <w:ilvl w:val="0"/>
          <w:numId w:val="45"/>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Indien de klacht niet in onderling overleg kan worden opgelost ontstaat een geschil dat vatbaar is voor de geschillenregeling.</w:t>
      </w:r>
    </w:p>
    <w:p>
      <w:pPr>
        <w:pStyle w:val="Hoofdtekst"/>
        <w:rPr>
          <w:rFonts w:ascii="Arial" w:cs="Arial" w:hAnsi="Arial" w:eastAsia="Arial"/>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15 - Geschillen</w:t>
      </w:r>
    </w:p>
    <w:p>
      <w:pPr>
        <w:pStyle w:val="Hoofdtekst"/>
        <w:numPr>
          <w:ilvl w:val="0"/>
          <w:numId w:val="48"/>
        </w:numPr>
        <w:tabs>
          <w:tab w:val="num" w:pos="518"/>
          <w:tab w:val="clear" w:pos="432"/>
        </w:tabs>
        <w:bidi w:val="0"/>
        <w:ind w:left="518" w:right="0" w:hanging="518"/>
        <w:jc w:val="left"/>
        <w:rPr>
          <w:rFonts w:ascii="Arial" w:cs="Arial" w:hAnsi="Arial" w:eastAsia="Arial"/>
          <w:position w:val="0"/>
          <w:sz w:val="20"/>
          <w:szCs w:val="20"/>
          <w:rtl w:val="0"/>
        </w:rPr>
      </w:pPr>
      <w:r>
        <w:rPr>
          <w:rFonts w:ascii="Arial"/>
          <w:sz w:val="20"/>
          <w:szCs w:val="20"/>
          <w:rtl w:val="0"/>
          <w:lang w:val="nl-NL"/>
        </w:rPr>
        <w:t>Op overeenkomsten tussen de ondernemer en de consument waarop deze algemene voorwaarden betrekking hebben, is uitsluitend Nederlands recht van toepassing.</w:t>
      </w:r>
    </w:p>
    <w:p>
      <w:pPr>
        <w:pStyle w:val="Normal (Web)"/>
        <w:spacing w:before="0" w:after="0"/>
        <w:rPr>
          <w:rFonts w:ascii="Arial" w:cs="Arial" w:hAnsi="Arial" w:eastAsia="Arial"/>
          <w:b w:val="1"/>
          <w:bCs w:val="1"/>
          <w:sz w:val="20"/>
          <w:szCs w:val="20"/>
        </w:rPr>
      </w:pPr>
    </w:p>
    <w:p>
      <w:pPr>
        <w:pStyle w:val="Normal (Web)"/>
        <w:spacing w:before="0" w:after="0"/>
        <w:rPr>
          <w:rFonts w:ascii="Arial" w:cs="Arial" w:hAnsi="Arial" w:eastAsia="Arial"/>
          <w:sz w:val="20"/>
          <w:szCs w:val="20"/>
        </w:rPr>
      </w:pPr>
      <w:r>
        <w:rPr>
          <w:rFonts w:ascii="Arial"/>
          <w:b w:val="1"/>
          <w:bCs w:val="1"/>
          <w:sz w:val="20"/>
          <w:szCs w:val="20"/>
          <w:rtl w:val="0"/>
          <w:lang w:val="nl-NL"/>
        </w:rPr>
        <w:t>Artikel 16 - Aanvullende of afwijkende bepalingen</w:t>
      </w:r>
    </w:p>
    <w:p>
      <w:pPr>
        <w:pStyle w:val="Normal (Web)"/>
        <w:spacing w:before="0" w:after="0"/>
      </w:pPr>
      <w:r>
        <w:rPr>
          <w:rFonts w:ascii="Arial"/>
          <w:sz w:val="20"/>
          <w:szCs w:val="20"/>
          <w:rtl w:val="0"/>
          <w:lang w:val="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3">
    <w:multiLevelType w:val="multilevel"/>
    <w:styleLink w:val="List 0"/>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
    <w:multiLevelType w:val="multilevel"/>
    <w:lvl w:ilvl="0">
      <w:start w:val="1"/>
      <w:numFmt w:val="bullet"/>
      <w:suff w:val="tab"/>
      <w:lvlText w:val="-"/>
      <w:lvlJc w:val="left"/>
      <w:pPr>
        <w:tabs>
          <w:tab w:val="num" w:pos="360"/>
          <w:tab w:val="clear" w:pos="0"/>
        </w:tabs>
        <w:ind w:left="360" w:hanging="360"/>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bullet"/>
      <w:suff w:val="tab"/>
      <w:lvlText w:val="▪"/>
      <w:lvlJc w:val="left"/>
      <w:pPr>
        <w:tabs>
          <w:tab w:val="num" w:pos="1690"/>
          <w:tab w:val="clear" w:pos="0"/>
        </w:tabs>
        <w:ind w:left="1690" w:hanging="250"/>
      </w:pPr>
      <w:rPr>
        <w:color w:val="000000"/>
        <w:position w:val="0"/>
        <w:sz w:val="20"/>
        <w:szCs w:val="20"/>
      </w:rPr>
    </w:lvl>
    <w:lvl w:ilvl="3">
      <w:start w:val="1"/>
      <w:numFmt w:val="bullet"/>
      <w:suff w:val="tab"/>
      <w:lvlText w:val="•"/>
      <w:lvlJc w:val="left"/>
      <w:pPr>
        <w:tabs>
          <w:tab w:val="num" w:pos="2410"/>
          <w:tab w:val="clear" w:pos="0"/>
        </w:tabs>
        <w:ind w:left="2410" w:hanging="250"/>
      </w:pPr>
      <w:rPr>
        <w:color w:val="000000"/>
        <w:position w:val="0"/>
        <w:sz w:val="20"/>
        <w:szCs w:val="20"/>
      </w:rPr>
    </w:lvl>
    <w:lvl w:ilvl="4">
      <w:start w:val="1"/>
      <w:numFmt w:val="bullet"/>
      <w:suff w:val="tab"/>
      <w:lvlText w:val="o"/>
      <w:lvlJc w:val="left"/>
      <w:pPr>
        <w:tabs>
          <w:tab w:val="num" w:pos="3130"/>
          <w:tab w:val="clear" w:pos="0"/>
        </w:tabs>
        <w:ind w:left="3130" w:hanging="250"/>
      </w:pPr>
      <w:rPr>
        <w:color w:val="000000"/>
        <w:position w:val="0"/>
        <w:sz w:val="20"/>
        <w:szCs w:val="20"/>
      </w:rPr>
    </w:lvl>
    <w:lvl w:ilvl="5">
      <w:start w:val="1"/>
      <w:numFmt w:val="bullet"/>
      <w:suff w:val="tab"/>
      <w:lvlText w:val="▪"/>
      <w:lvlJc w:val="left"/>
      <w:pPr>
        <w:tabs>
          <w:tab w:val="num" w:pos="3850"/>
          <w:tab w:val="clear" w:pos="0"/>
        </w:tabs>
        <w:ind w:left="3850" w:hanging="250"/>
      </w:pPr>
      <w:rPr>
        <w:color w:val="000000"/>
        <w:position w:val="0"/>
        <w:sz w:val="20"/>
        <w:szCs w:val="20"/>
      </w:rPr>
    </w:lvl>
    <w:lvl w:ilvl="6">
      <w:start w:val="1"/>
      <w:numFmt w:val="bullet"/>
      <w:suff w:val="tab"/>
      <w:lvlText w:val="•"/>
      <w:lvlJc w:val="left"/>
      <w:pPr>
        <w:tabs>
          <w:tab w:val="num" w:pos="4570"/>
          <w:tab w:val="clear" w:pos="0"/>
        </w:tabs>
        <w:ind w:left="4570" w:hanging="250"/>
      </w:pPr>
      <w:rPr>
        <w:color w:val="000000"/>
        <w:position w:val="0"/>
        <w:sz w:val="20"/>
        <w:szCs w:val="20"/>
      </w:rPr>
    </w:lvl>
    <w:lvl w:ilvl="7">
      <w:start w:val="1"/>
      <w:numFmt w:val="bullet"/>
      <w:suff w:val="tab"/>
      <w:lvlText w:val="o"/>
      <w:lvlJc w:val="left"/>
      <w:pPr>
        <w:tabs>
          <w:tab w:val="num" w:pos="5290"/>
          <w:tab w:val="clear" w:pos="0"/>
        </w:tabs>
        <w:ind w:left="5290" w:hanging="250"/>
      </w:pPr>
      <w:rPr>
        <w:color w:val="000000"/>
        <w:position w:val="0"/>
        <w:sz w:val="20"/>
        <w:szCs w:val="20"/>
      </w:rPr>
    </w:lvl>
    <w:lvl w:ilvl="8">
      <w:start w:val="1"/>
      <w:numFmt w:val="bullet"/>
      <w:suff w:val="tab"/>
      <w:lvlText w:val="▪"/>
      <w:lvlJc w:val="left"/>
      <w:pPr>
        <w:tabs>
          <w:tab w:val="num" w:pos="6010"/>
          <w:tab w:val="clear" w:pos="0"/>
        </w:tabs>
        <w:ind w:left="6010" w:hanging="250"/>
      </w:pPr>
      <w:rPr>
        <w:color w:val="000000"/>
        <w:position w:val="0"/>
        <w:sz w:val="20"/>
        <w:szCs w:val="20"/>
      </w:rPr>
    </w:lvl>
  </w:abstractNum>
  <w:abstractNum w:abstractNumId="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
    <w:multiLevelType w:val="multilevel"/>
    <w:styleLink w:val="List 1"/>
    <w:lvl w:ilvl="0">
      <w:start w:val="1"/>
      <w:numFmt w:val="bullet"/>
      <w:suff w:val="tab"/>
      <w:lvlText w:val="-"/>
      <w:lvlJc w:val="left"/>
      <w:pPr>
        <w:tabs>
          <w:tab w:val="num" w:pos="360"/>
          <w:tab w:val="clear" w:pos="0"/>
        </w:tabs>
        <w:ind w:left="360" w:hanging="360"/>
      </w:pPr>
      <w:rPr>
        <w:color w:val="000000"/>
        <w:position w:val="0"/>
        <w:sz w:val="24"/>
        <w:szCs w:val="24"/>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bullet"/>
      <w:suff w:val="tab"/>
      <w:lvlText w:val="▪"/>
      <w:lvlJc w:val="left"/>
      <w:pPr>
        <w:tabs>
          <w:tab w:val="num" w:pos="1690"/>
          <w:tab w:val="clear" w:pos="0"/>
        </w:tabs>
        <w:ind w:left="1690" w:hanging="250"/>
      </w:pPr>
      <w:rPr>
        <w:color w:val="000000"/>
        <w:position w:val="0"/>
        <w:sz w:val="20"/>
        <w:szCs w:val="20"/>
      </w:rPr>
    </w:lvl>
    <w:lvl w:ilvl="3">
      <w:start w:val="1"/>
      <w:numFmt w:val="bullet"/>
      <w:suff w:val="tab"/>
      <w:lvlText w:val="•"/>
      <w:lvlJc w:val="left"/>
      <w:pPr>
        <w:tabs>
          <w:tab w:val="num" w:pos="2410"/>
          <w:tab w:val="clear" w:pos="0"/>
        </w:tabs>
        <w:ind w:left="2410" w:hanging="250"/>
      </w:pPr>
      <w:rPr>
        <w:color w:val="000000"/>
        <w:position w:val="0"/>
        <w:sz w:val="20"/>
        <w:szCs w:val="20"/>
      </w:rPr>
    </w:lvl>
    <w:lvl w:ilvl="4">
      <w:start w:val="1"/>
      <w:numFmt w:val="bullet"/>
      <w:suff w:val="tab"/>
      <w:lvlText w:val="o"/>
      <w:lvlJc w:val="left"/>
      <w:pPr>
        <w:tabs>
          <w:tab w:val="num" w:pos="3130"/>
          <w:tab w:val="clear" w:pos="0"/>
        </w:tabs>
        <w:ind w:left="3130" w:hanging="250"/>
      </w:pPr>
      <w:rPr>
        <w:color w:val="000000"/>
        <w:position w:val="0"/>
        <w:sz w:val="20"/>
        <w:szCs w:val="20"/>
      </w:rPr>
    </w:lvl>
    <w:lvl w:ilvl="5">
      <w:start w:val="1"/>
      <w:numFmt w:val="bullet"/>
      <w:suff w:val="tab"/>
      <w:lvlText w:val="▪"/>
      <w:lvlJc w:val="left"/>
      <w:pPr>
        <w:tabs>
          <w:tab w:val="num" w:pos="3850"/>
          <w:tab w:val="clear" w:pos="0"/>
        </w:tabs>
        <w:ind w:left="3850" w:hanging="250"/>
      </w:pPr>
      <w:rPr>
        <w:color w:val="000000"/>
        <w:position w:val="0"/>
        <w:sz w:val="20"/>
        <w:szCs w:val="20"/>
      </w:rPr>
    </w:lvl>
    <w:lvl w:ilvl="6">
      <w:start w:val="1"/>
      <w:numFmt w:val="bullet"/>
      <w:suff w:val="tab"/>
      <w:lvlText w:val="•"/>
      <w:lvlJc w:val="left"/>
      <w:pPr>
        <w:tabs>
          <w:tab w:val="num" w:pos="4570"/>
          <w:tab w:val="clear" w:pos="0"/>
        </w:tabs>
        <w:ind w:left="4570" w:hanging="250"/>
      </w:pPr>
      <w:rPr>
        <w:color w:val="000000"/>
        <w:position w:val="0"/>
        <w:sz w:val="20"/>
        <w:szCs w:val="20"/>
      </w:rPr>
    </w:lvl>
    <w:lvl w:ilvl="7">
      <w:start w:val="1"/>
      <w:numFmt w:val="bullet"/>
      <w:suff w:val="tab"/>
      <w:lvlText w:val="o"/>
      <w:lvlJc w:val="left"/>
      <w:pPr>
        <w:tabs>
          <w:tab w:val="num" w:pos="5290"/>
          <w:tab w:val="clear" w:pos="0"/>
        </w:tabs>
        <w:ind w:left="5290" w:hanging="250"/>
      </w:pPr>
      <w:rPr>
        <w:color w:val="000000"/>
        <w:position w:val="0"/>
        <w:sz w:val="20"/>
        <w:szCs w:val="20"/>
      </w:rPr>
    </w:lvl>
    <w:lvl w:ilvl="8">
      <w:start w:val="1"/>
      <w:numFmt w:val="bullet"/>
      <w:suff w:val="tab"/>
      <w:lvlText w:val="▪"/>
      <w:lvlJc w:val="left"/>
      <w:pPr>
        <w:tabs>
          <w:tab w:val="num" w:pos="6010"/>
          <w:tab w:val="clear" w:pos="0"/>
        </w:tabs>
        <w:ind w:left="6010" w:hanging="250"/>
      </w:pPr>
      <w:rPr>
        <w:color w:val="000000"/>
        <w:position w:val="0"/>
        <w:sz w:val="20"/>
        <w:szCs w:val="20"/>
      </w:rPr>
    </w:lvl>
  </w:abstractNum>
  <w:abstractNum w:abstractNumId="7">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8">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9">
    <w:multiLevelType w:val="multilevel"/>
    <w:styleLink w:val="List 2"/>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0">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670"/>
          <w:tab w:val="clear" w:pos="0"/>
        </w:tabs>
        <w:ind w:left="6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1">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2">
    <w:multiLevelType w:val="multilevel"/>
    <w:styleLink w:val="List 3"/>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670"/>
          <w:tab w:val="clear" w:pos="0"/>
        </w:tabs>
        <w:ind w:left="6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3">
    <w:multiLevelType w:val="multilevel"/>
    <w:lvl w:ilvl="0">
      <w:start w:val="1"/>
      <w:numFmt w:val="decimal"/>
      <w:suff w:val="tab"/>
      <w:lvlText w:val="%1."/>
      <w:lvlJc w:val="left"/>
      <w:pPr>
        <w:tabs>
          <w:tab w:val="num" w:pos="250"/>
          <w:tab w:val="clear" w:pos="0"/>
        </w:tabs>
        <w:ind w:left="250" w:hanging="250"/>
      </w:pPr>
      <w:rPr>
        <w:color w:val="000000"/>
        <w:position w:val="0"/>
        <w:sz w:val="20"/>
        <w:szCs w:val="20"/>
      </w:rPr>
    </w:lvl>
    <w:lvl w:ilvl="1">
      <w:start w:val="1"/>
      <w:numFmt w:val="bullet"/>
      <w:suff w:val="tab"/>
      <w:lvlText w:val="o"/>
      <w:lvlJc w:val="left"/>
      <w:pPr>
        <w:tabs>
          <w:tab w:val="num" w:pos="785"/>
          <w:tab w:val="clear" w:pos="0"/>
        </w:tabs>
        <w:ind w:left="785" w:hanging="36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4">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5">
    <w:multiLevelType w:val="multilevel"/>
    <w:styleLink w:val="List 4"/>
    <w:lvl w:ilvl="0">
      <w:start w:val="1"/>
      <w:numFmt w:val="decimal"/>
      <w:suff w:val="tab"/>
      <w:lvlText w:val="%1."/>
      <w:lvlJc w:val="left"/>
      <w:pPr>
        <w:tabs>
          <w:tab w:val="num" w:pos="250"/>
          <w:tab w:val="clear" w:pos="0"/>
        </w:tabs>
        <w:ind w:left="250" w:hanging="250"/>
      </w:pPr>
      <w:rPr>
        <w:color w:val="000000"/>
        <w:position w:val="0"/>
        <w:sz w:val="20"/>
        <w:szCs w:val="20"/>
      </w:rPr>
    </w:lvl>
    <w:lvl w:ilvl="1">
      <w:start w:val="1"/>
      <w:numFmt w:val="bullet"/>
      <w:suff w:val="tab"/>
      <w:lvlText w:val="o"/>
      <w:lvlJc w:val="left"/>
      <w:pPr>
        <w:tabs>
          <w:tab w:val="num" w:pos="785"/>
          <w:tab w:val="clear" w:pos="0"/>
        </w:tabs>
        <w:ind w:left="785" w:hanging="360"/>
      </w:pPr>
      <w:rPr>
        <w:color w:val="000000"/>
        <w:position w:val="0"/>
        <w:sz w:val="24"/>
        <w:szCs w:val="24"/>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6">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7">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8">
    <w:multiLevelType w:val="multilevel"/>
    <w:styleLink w:val="List 5"/>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19">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0">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1">
    <w:multiLevelType w:val="multilevel"/>
    <w:styleLink w:val="List 6"/>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2">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3">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4">
    <w:multiLevelType w:val="multilevel"/>
    <w:styleLink w:val="List 7"/>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5">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6">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7">
    <w:multiLevelType w:val="multilevel"/>
    <w:styleLink w:val="List 8"/>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8">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29">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30">
    <w:multiLevelType w:val="multilevel"/>
    <w:styleLink w:val="List 9"/>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bullet"/>
      <w:suff w:val="tab"/>
      <w:lvlText w:val="o"/>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31">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32">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33">
    <w:multiLevelType w:val="multilevel"/>
    <w:styleLink w:val="List 10"/>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34">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35">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36">
    <w:multiLevelType w:val="multilevel"/>
    <w:styleLink w:val="List 11"/>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37">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38">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39">
    <w:multiLevelType w:val="multilevel"/>
    <w:styleLink w:val="List 12"/>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0">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42">
    <w:multiLevelType w:val="multilevel"/>
    <w:styleLink w:val="List 13"/>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3">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4">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45">
    <w:multiLevelType w:val="multilevel"/>
    <w:styleLink w:val="List 14"/>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6">
    <w:multiLevelType w:val="multilevel"/>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abstractNum w:abstractNumId="47">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48">
    <w:multiLevelType w:val="multilevel"/>
    <w:styleLink w:val="List 15"/>
    <w:lvl w:ilvl="0">
      <w:start w:val="1"/>
      <w:numFmt w:val="decimal"/>
      <w:suff w:val="tab"/>
      <w:lvlText w:val="%1."/>
      <w:lvlJc w:val="left"/>
      <w:pPr>
        <w:tabs>
          <w:tab w:val="num" w:pos="432"/>
          <w:tab w:val="clear" w:pos="0"/>
        </w:tabs>
        <w:ind w:left="432" w:hanging="432"/>
      </w:pPr>
      <w:rPr>
        <w:color w:val="000000"/>
        <w:position w:val="0"/>
        <w:sz w:val="20"/>
        <w:szCs w:val="20"/>
      </w:rPr>
    </w:lvl>
    <w:lvl w:ilvl="1">
      <w:start w:val="1"/>
      <w:numFmt w:val="decimal"/>
      <w:suff w:val="tab"/>
      <w:lvlText w:val="%2."/>
      <w:lvlJc w:val="left"/>
      <w:pPr>
        <w:tabs>
          <w:tab w:val="num" w:pos="970"/>
          <w:tab w:val="clear" w:pos="0"/>
        </w:tabs>
        <w:ind w:left="970" w:hanging="250"/>
      </w:pPr>
      <w:rPr>
        <w:color w:val="000000"/>
        <w:position w:val="0"/>
        <w:sz w:val="20"/>
        <w:szCs w:val="20"/>
      </w:rPr>
    </w:lvl>
    <w:lvl w:ilvl="2">
      <w:start w:val="1"/>
      <w:numFmt w:val="decimal"/>
      <w:suff w:val="tab"/>
      <w:lvlText w:val="%3."/>
      <w:lvlJc w:val="left"/>
      <w:pPr>
        <w:tabs>
          <w:tab w:val="num" w:pos="1690"/>
          <w:tab w:val="clear" w:pos="0"/>
        </w:tabs>
        <w:ind w:left="1690" w:hanging="250"/>
      </w:pPr>
      <w:rPr>
        <w:color w:val="000000"/>
        <w:position w:val="0"/>
        <w:sz w:val="20"/>
        <w:szCs w:val="20"/>
      </w:rPr>
    </w:lvl>
    <w:lvl w:ilvl="3">
      <w:start w:val="1"/>
      <w:numFmt w:val="decimal"/>
      <w:suff w:val="tab"/>
      <w:lvlText w:val="%4."/>
      <w:lvlJc w:val="left"/>
      <w:pPr>
        <w:tabs>
          <w:tab w:val="num" w:pos="2410"/>
          <w:tab w:val="clear" w:pos="0"/>
        </w:tabs>
        <w:ind w:left="2410" w:hanging="250"/>
      </w:pPr>
      <w:rPr>
        <w:color w:val="000000"/>
        <w:position w:val="0"/>
        <w:sz w:val="20"/>
        <w:szCs w:val="20"/>
      </w:rPr>
    </w:lvl>
    <w:lvl w:ilvl="4">
      <w:start w:val="1"/>
      <w:numFmt w:val="decimal"/>
      <w:suff w:val="tab"/>
      <w:lvlText w:val="%5."/>
      <w:lvlJc w:val="left"/>
      <w:pPr>
        <w:tabs>
          <w:tab w:val="num" w:pos="3130"/>
          <w:tab w:val="clear" w:pos="0"/>
        </w:tabs>
        <w:ind w:left="3130" w:hanging="250"/>
      </w:pPr>
      <w:rPr>
        <w:color w:val="000000"/>
        <w:position w:val="0"/>
        <w:sz w:val="20"/>
        <w:szCs w:val="20"/>
      </w:rPr>
    </w:lvl>
    <w:lvl w:ilvl="5">
      <w:start w:val="1"/>
      <w:numFmt w:val="decimal"/>
      <w:suff w:val="tab"/>
      <w:lvlText w:val="%6."/>
      <w:lvlJc w:val="left"/>
      <w:pPr>
        <w:tabs>
          <w:tab w:val="num" w:pos="3850"/>
          <w:tab w:val="clear" w:pos="0"/>
        </w:tabs>
        <w:ind w:left="3850" w:hanging="250"/>
      </w:pPr>
      <w:rPr>
        <w:color w:val="000000"/>
        <w:position w:val="0"/>
        <w:sz w:val="20"/>
        <w:szCs w:val="20"/>
      </w:rPr>
    </w:lvl>
    <w:lvl w:ilvl="6">
      <w:start w:val="1"/>
      <w:numFmt w:val="decimal"/>
      <w:suff w:val="tab"/>
      <w:lvlText w:val="%7."/>
      <w:lvlJc w:val="left"/>
      <w:pPr>
        <w:tabs>
          <w:tab w:val="num" w:pos="4570"/>
          <w:tab w:val="clear" w:pos="0"/>
        </w:tabs>
        <w:ind w:left="4570" w:hanging="250"/>
      </w:pPr>
      <w:rPr>
        <w:color w:val="000000"/>
        <w:position w:val="0"/>
        <w:sz w:val="20"/>
        <w:szCs w:val="20"/>
      </w:rPr>
    </w:lvl>
    <w:lvl w:ilvl="7">
      <w:start w:val="1"/>
      <w:numFmt w:val="decimal"/>
      <w:suff w:val="tab"/>
      <w:lvlText w:val="%8."/>
      <w:lvlJc w:val="left"/>
      <w:pPr>
        <w:tabs>
          <w:tab w:val="num" w:pos="5290"/>
          <w:tab w:val="clear" w:pos="0"/>
        </w:tabs>
        <w:ind w:left="5290" w:hanging="250"/>
      </w:pPr>
      <w:rPr>
        <w:color w:val="000000"/>
        <w:position w:val="0"/>
        <w:sz w:val="20"/>
        <w:szCs w:val="20"/>
      </w:rPr>
    </w:lvl>
    <w:lvl w:ilvl="8">
      <w:start w:val="1"/>
      <w:numFmt w:val="decimal"/>
      <w:suff w:val="tab"/>
      <w:lvlText w:val="%9."/>
      <w:lvlJc w:val="left"/>
      <w:pPr>
        <w:tabs>
          <w:tab w:val="num" w:pos="6010"/>
          <w:tab w:val="clear" w:pos="0"/>
        </w:tabs>
        <w:ind w:left="6010" w:hanging="250"/>
      </w:pPr>
      <w:rPr>
        <w:color w:val="000000"/>
        <w:position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numbering" w:styleId="List 2">
    <w:name w:val="List 2"/>
    <w:basedOn w:val="Geïmporteerde stijl 3"/>
    <w:next w:val="List 2"/>
    <w:pPr>
      <w:numPr>
        <w:numId w:val="7"/>
      </w:numPr>
    </w:pPr>
  </w:style>
  <w:style w:type="numbering" w:styleId="Geïmporteerde stijl 3">
    <w:name w:val="Geïmporteerde stijl 3"/>
    <w:next w:val="Geïmporteerde stijl 3"/>
    <w:pPr>
      <w:numPr>
        <w:numId w:val="8"/>
      </w:numPr>
    </w:pPr>
  </w:style>
  <w:style w:type="numbering" w:styleId="List 3">
    <w:name w:val="List 3"/>
    <w:basedOn w:val="Geïmporteerde stijl 4"/>
    <w:next w:val="List 3"/>
    <w:pPr>
      <w:numPr>
        <w:numId w:val="10"/>
      </w:numPr>
    </w:pPr>
  </w:style>
  <w:style w:type="numbering" w:styleId="Geïmporteerde stijl 4">
    <w:name w:val="Geïmporteerde stijl 4"/>
    <w:next w:val="Geïmporteerde stijl 4"/>
    <w:pPr>
      <w:numPr>
        <w:numId w:val="11"/>
      </w:numPr>
    </w:pPr>
  </w:style>
  <w:style w:type="numbering" w:styleId="List 4">
    <w:name w:val="List 4"/>
    <w:basedOn w:val="Geïmporteerde stijl 5"/>
    <w:next w:val="List 4"/>
    <w:pPr>
      <w:numPr>
        <w:numId w:val="13"/>
      </w:numPr>
    </w:pPr>
  </w:style>
  <w:style w:type="numbering" w:styleId="Geïmporteerde stijl 5">
    <w:name w:val="Geïmporteerde stijl 5"/>
    <w:next w:val="Geïmporteerde stijl 5"/>
    <w:pPr>
      <w:numPr>
        <w:numId w:val="14"/>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5">
    <w:name w:val="List 5"/>
    <w:basedOn w:val="Geïmporteerde stijl 6"/>
    <w:next w:val="List 5"/>
    <w:pPr>
      <w:numPr>
        <w:numId w:val="16"/>
      </w:numPr>
    </w:pPr>
  </w:style>
  <w:style w:type="numbering" w:styleId="Geïmporteerde stijl 6">
    <w:name w:val="Geïmporteerde stijl 6"/>
    <w:next w:val="Geïmporteerde stijl 6"/>
    <w:pPr>
      <w:numPr>
        <w:numId w:val="17"/>
      </w:numPr>
    </w:pPr>
  </w:style>
  <w:style w:type="numbering" w:styleId="List 6">
    <w:name w:val="List 6"/>
    <w:basedOn w:val="Geïmporteerde stijl 7"/>
    <w:next w:val="List 6"/>
    <w:pPr>
      <w:numPr>
        <w:numId w:val="19"/>
      </w:numPr>
    </w:pPr>
  </w:style>
  <w:style w:type="numbering" w:styleId="Geïmporteerde stijl 7">
    <w:name w:val="Geïmporteerde stijl 7"/>
    <w:next w:val="Geïmporteerde stijl 7"/>
    <w:pPr>
      <w:numPr>
        <w:numId w:val="20"/>
      </w:numPr>
    </w:pPr>
  </w:style>
  <w:style w:type="numbering" w:styleId="List 7">
    <w:name w:val="List 7"/>
    <w:basedOn w:val="Geïmporteerde stijl 8"/>
    <w:next w:val="List 7"/>
    <w:pPr>
      <w:numPr>
        <w:numId w:val="22"/>
      </w:numPr>
    </w:pPr>
  </w:style>
  <w:style w:type="numbering" w:styleId="Geïmporteerde stijl 8">
    <w:name w:val="Geïmporteerde stijl 8"/>
    <w:next w:val="Geïmporteerde stijl 8"/>
    <w:pPr>
      <w:numPr>
        <w:numId w:val="23"/>
      </w:numPr>
    </w:pPr>
  </w:style>
  <w:style w:type="numbering" w:styleId="List 8">
    <w:name w:val="List 8"/>
    <w:basedOn w:val="Geïmporteerde stijl 9"/>
    <w:next w:val="List 8"/>
    <w:pPr>
      <w:numPr>
        <w:numId w:val="25"/>
      </w:numPr>
    </w:pPr>
  </w:style>
  <w:style w:type="numbering" w:styleId="Geïmporteerde stijl 9">
    <w:name w:val="Geïmporteerde stijl 9"/>
    <w:next w:val="Geïmporteerde stijl 9"/>
    <w:pPr>
      <w:numPr>
        <w:numId w:val="26"/>
      </w:numPr>
    </w:pPr>
  </w:style>
  <w:style w:type="numbering" w:styleId="List 9">
    <w:name w:val="List 9"/>
    <w:basedOn w:val="Geïmporteerde stijl 10"/>
    <w:next w:val="List 9"/>
    <w:pPr>
      <w:numPr>
        <w:numId w:val="28"/>
      </w:numPr>
    </w:pPr>
  </w:style>
  <w:style w:type="numbering" w:styleId="Geïmporteerde stijl 10">
    <w:name w:val="Geïmporteerde stijl 10"/>
    <w:next w:val="Geïmporteerde stijl 10"/>
    <w:pPr>
      <w:numPr>
        <w:numId w:val="29"/>
      </w:numPr>
    </w:pPr>
  </w:style>
  <w:style w:type="numbering" w:styleId="List 10">
    <w:name w:val="List 10"/>
    <w:basedOn w:val="Geïmporteerde stijl 11"/>
    <w:next w:val="List 10"/>
    <w:pPr>
      <w:numPr>
        <w:numId w:val="31"/>
      </w:numPr>
    </w:pPr>
  </w:style>
  <w:style w:type="numbering" w:styleId="Geïmporteerde stijl 11">
    <w:name w:val="Geïmporteerde stijl 11"/>
    <w:next w:val="Geïmporteerde stijl 11"/>
    <w:pPr>
      <w:numPr>
        <w:numId w:val="32"/>
      </w:numPr>
    </w:pPr>
  </w:style>
  <w:style w:type="numbering" w:styleId="List 11">
    <w:name w:val="List 11"/>
    <w:basedOn w:val="Geïmporteerde stijl 12"/>
    <w:next w:val="List 11"/>
    <w:pPr>
      <w:numPr>
        <w:numId w:val="34"/>
      </w:numPr>
    </w:pPr>
  </w:style>
  <w:style w:type="numbering" w:styleId="Geïmporteerde stijl 12">
    <w:name w:val="Geïmporteerde stijl 12"/>
    <w:next w:val="Geïmporteerde stijl 12"/>
    <w:pPr>
      <w:numPr>
        <w:numId w:val="35"/>
      </w:numPr>
    </w:pPr>
  </w:style>
  <w:style w:type="numbering" w:styleId="List 12">
    <w:name w:val="List 12"/>
    <w:basedOn w:val="Geïmporteerde stijl 13"/>
    <w:next w:val="List 12"/>
    <w:pPr>
      <w:numPr>
        <w:numId w:val="37"/>
      </w:numPr>
    </w:pPr>
  </w:style>
  <w:style w:type="numbering" w:styleId="Geïmporteerde stijl 13">
    <w:name w:val="Geïmporteerde stijl 13"/>
    <w:next w:val="Geïmporteerde stijl 13"/>
    <w:pPr>
      <w:numPr>
        <w:numId w:val="38"/>
      </w:numPr>
    </w:pPr>
  </w:style>
  <w:style w:type="numbering" w:styleId="List 13">
    <w:name w:val="List 13"/>
    <w:basedOn w:val="Geïmporteerde stijl 14"/>
    <w:next w:val="List 13"/>
    <w:pPr>
      <w:numPr>
        <w:numId w:val="40"/>
      </w:numPr>
    </w:pPr>
  </w:style>
  <w:style w:type="numbering" w:styleId="Geïmporteerde stijl 14">
    <w:name w:val="Geïmporteerde stijl 14"/>
    <w:next w:val="Geïmporteerde stijl 14"/>
    <w:pPr>
      <w:numPr>
        <w:numId w:val="41"/>
      </w:numPr>
    </w:pPr>
  </w:style>
  <w:style w:type="numbering" w:styleId="List 14">
    <w:name w:val="List 14"/>
    <w:basedOn w:val="Geïmporteerde stijl 15"/>
    <w:next w:val="List 14"/>
    <w:pPr>
      <w:numPr>
        <w:numId w:val="43"/>
      </w:numPr>
    </w:pPr>
  </w:style>
  <w:style w:type="numbering" w:styleId="Geïmporteerde stijl 15">
    <w:name w:val="Geïmporteerde stijl 15"/>
    <w:next w:val="Geïmporteerde stijl 15"/>
    <w:pPr>
      <w:numPr>
        <w:numId w:val="44"/>
      </w:numPr>
    </w:pPr>
  </w:style>
  <w:style w:type="numbering" w:styleId="List 15">
    <w:name w:val="List 15"/>
    <w:basedOn w:val="Geïmporteerde stijl 16"/>
    <w:next w:val="List 15"/>
    <w:pPr>
      <w:numPr>
        <w:numId w:val="46"/>
      </w:numPr>
    </w:pPr>
  </w:style>
  <w:style w:type="numbering" w:styleId="Geïmporteerde stijl 16">
    <w:name w:val="Geïmporteerde stijl 16"/>
    <w:next w:val="Geïmporteerde stijl 16"/>
    <w:pPr>
      <w:numPr>
        <w:numId w:val="4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